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49D7" w:rsidRPr="00F03972" w:rsidRDefault="007649D7" w:rsidP="007649D7">
      <w:pPr>
        <w:pStyle w:val="Title"/>
        <w:spacing w:before="3000"/>
      </w:pPr>
      <w:r>
        <w:t xml:space="preserve">NATIONAL BLOOD SECTOR DATA AND INFORMATION STRATEGY AND SCORECARD 2013 </w:t>
      </w:r>
      <w:r>
        <w:noBreakHyphen/>
        <w:t xml:space="preserve"> 2016</w:t>
      </w:r>
    </w:p>
    <w:p w:rsidR="002E207A" w:rsidRDefault="002E207A" w:rsidP="00A92707">
      <w:pPr>
        <w:jc w:val="right"/>
      </w:pPr>
      <w:r>
        <w:br w:type="page"/>
      </w:r>
      <w:r>
        <w:lastRenderedPageBreak/>
        <w:t>Contents</w:t>
      </w:r>
    </w:p>
    <w:p w:rsidR="002E207A" w:rsidRDefault="002E207A">
      <w:pPr>
        <w:pStyle w:val="TOC1"/>
        <w:rPr>
          <w:rFonts w:eastAsia="Times New Roman" w:cs="Times New Roman"/>
          <w:b w:val="0"/>
          <w:caps w:val="0"/>
          <w:noProof/>
          <w:lang w:eastAsia="en-AU"/>
        </w:rPr>
      </w:pPr>
      <w:r w:rsidRPr="00891D94">
        <w:fldChar w:fldCharType="begin"/>
      </w:r>
      <w:r w:rsidRPr="00891D94">
        <w:instrText xml:space="preserve"> TOC \o "1-3" \h \z \u </w:instrText>
      </w:r>
      <w:r w:rsidRPr="00891D94">
        <w:fldChar w:fldCharType="separate"/>
      </w:r>
      <w:hyperlink w:anchor="_Toc343432032" w:history="1">
        <w:r w:rsidRPr="00D1645D">
          <w:rPr>
            <w:rStyle w:val="Hyperlink"/>
            <w:rFonts w:cs="Calibri"/>
            <w:noProof/>
          </w:rPr>
          <w:t>Document purpose</w:t>
        </w:r>
        <w:r>
          <w:rPr>
            <w:noProof/>
            <w:webHidden/>
          </w:rPr>
          <w:tab/>
        </w:r>
        <w:r>
          <w:rPr>
            <w:noProof/>
            <w:webHidden/>
          </w:rPr>
          <w:fldChar w:fldCharType="begin"/>
        </w:r>
        <w:r>
          <w:rPr>
            <w:noProof/>
            <w:webHidden/>
          </w:rPr>
          <w:instrText xml:space="preserve"> PAGEREF _Toc343432032 \h </w:instrText>
        </w:r>
        <w:r>
          <w:rPr>
            <w:noProof/>
            <w:webHidden/>
          </w:rPr>
        </w:r>
        <w:r>
          <w:rPr>
            <w:noProof/>
            <w:webHidden/>
          </w:rPr>
          <w:fldChar w:fldCharType="separate"/>
        </w:r>
        <w:r w:rsidR="00C82CE1">
          <w:rPr>
            <w:noProof/>
            <w:webHidden/>
          </w:rPr>
          <w:t>2</w:t>
        </w:r>
        <w:r>
          <w:rPr>
            <w:noProof/>
            <w:webHidden/>
          </w:rPr>
          <w:fldChar w:fldCharType="end"/>
        </w:r>
      </w:hyperlink>
    </w:p>
    <w:p w:rsidR="002E207A" w:rsidRDefault="007649D7">
      <w:pPr>
        <w:pStyle w:val="TOC1"/>
        <w:rPr>
          <w:rFonts w:eastAsia="Times New Roman" w:cs="Times New Roman"/>
          <w:b w:val="0"/>
          <w:caps w:val="0"/>
          <w:noProof/>
          <w:lang w:eastAsia="en-AU"/>
        </w:rPr>
      </w:pPr>
      <w:hyperlink w:anchor="_Toc343432033" w:history="1">
        <w:r w:rsidR="002E207A" w:rsidRPr="00D1645D">
          <w:rPr>
            <w:rStyle w:val="Hyperlink"/>
            <w:rFonts w:cs="Calibri"/>
            <w:noProof/>
          </w:rPr>
          <w:t>Introduction</w:t>
        </w:r>
        <w:r w:rsidR="002E207A">
          <w:rPr>
            <w:noProof/>
            <w:webHidden/>
          </w:rPr>
          <w:tab/>
        </w:r>
        <w:r w:rsidR="002E207A">
          <w:rPr>
            <w:noProof/>
            <w:webHidden/>
          </w:rPr>
          <w:fldChar w:fldCharType="begin"/>
        </w:r>
        <w:r w:rsidR="002E207A">
          <w:rPr>
            <w:noProof/>
            <w:webHidden/>
          </w:rPr>
          <w:instrText xml:space="preserve"> PAGEREF _Toc343432033 \h </w:instrText>
        </w:r>
        <w:r w:rsidR="002E207A">
          <w:rPr>
            <w:noProof/>
            <w:webHidden/>
          </w:rPr>
        </w:r>
        <w:r w:rsidR="002E207A">
          <w:rPr>
            <w:noProof/>
            <w:webHidden/>
          </w:rPr>
          <w:fldChar w:fldCharType="separate"/>
        </w:r>
        <w:r w:rsidR="00C82CE1">
          <w:rPr>
            <w:noProof/>
            <w:webHidden/>
          </w:rPr>
          <w:t>3</w:t>
        </w:r>
        <w:r w:rsidR="002E207A">
          <w:rPr>
            <w:noProof/>
            <w:webHidden/>
          </w:rPr>
          <w:fldChar w:fldCharType="end"/>
        </w:r>
      </w:hyperlink>
    </w:p>
    <w:p w:rsidR="002E207A" w:rsidRDefault="007649D7">
      <w:pPr>
        <w:pStyle w:val="TOC2"/>
        <w:rPr>
          <w:rFonts w:eastAsia="Times New Roman" w:cs="Times New Roman"/>
          <w:noProof/>
          <w:lang w:eastAsia="en-AU"/>
        </w:rPr>
      </w:pPr>
      <w:hyperlink w:anchor="_Toc343432034" w:history="1">
        <w:r w:rsidR="002E207A" w:rsidRPr="00D1645D">
          <w:rPr>
            <w:rStyle w:val="Hyperlink"/>
            <w:rFonts w:cs="Calibri"/>
            <w:noProof/>
          </w:rPr>
          <w:t>Vision</w:t>
        </w:r>
        <w:r w:rsidR="002E207A">
          <w:rPr>
            <w:noProof/>
            <w:webHidden/>
          </w:rPr>
          <w:tab/>
        </w:r>
        <w:r w:rsidR="002E207A">
          <w:rPr>
            <w:noProof/>
            <w:webHidden/>
          </w:rPr>
          <w:fldChar w:fldCharType="begin"/>
        </w:r>
        <w:r w:rsidR="002E207A">
          <w:rPr>
            <w:noProof/>
            <w:webHidden/>
          </w:rPr>
          <w:instrText xml:space="preserve"> PAGEREF _Toc343432034 \h </w:instrText>
        </w:r>
        <w:r w:rsidR="002E207A">
          <w:rPr>
            <w:noProof/>
            <w:webHidden/>
          </w:rPr>
        </w:r>
        <w:r w:rsidR="002E207A">
          <w:rPr>
            <w:noProof/>
            <w:webHidden/>
          </w:rPr>
          <w:fldChar w:fldCharType="separate"/>
        </w:r>
        <w:r w:rsidR="00C82CE1">
          <w:rPr>
            <w:noProof/>
            <w:webHidden/>
          </w:rPr>
          <w:t>5</w:t>
        </w:r>
        <w:r w:rsidR="002E207A">
          <w:rPr>
            <w:noProof/>
            <w:webHidden/>
          </w:rPr>
          <w:fldChar w:fldCharType="end"/>
        </w:r>
      </w:hyperlink>
    </w:p>
    <w:p w:rsidR="002E207A" w:rsidRDefault="007649D7">
      <w:pPr>
        <w:pStyle w:val="TOC2"/>
        <w:rPr>
          <w:rFonts w:eastAsia="Times New Roman" w:cs="Times New Roman"/>
          <w:noProof/>
          <w:lang w:eastAsia="en-AU"/>
        </w:rPr>
      </w:pPr>
      <w:hyperlink w:anchor="_Toc343432035" w:history="1">
        <w:r w:rsidR="002E207A" w:rsidRPr="00D1645D">
          <w:rPr>
            <w:rStyle w:val="Hyperlink"/>
            <w:rFonts w:cs="Calibri"/>
            <w:noProof/>
          </w:rPr>
          <w:t>The Purpose</w:t>
        </w:r>
        <w:r w:rsidR="002E207A">
          <w:rPr>
            <w:noProof/>
            <w:webHidden/>
          </w:rPr>
          <w:tab/>
        </w:r>
        <w:r w:rsidR="002E207A">
          <w:rPr>
            <w:noProof/>
            <w:webHidden/>
          </w:rPr>
          <w:fldChar w:fldCharType="begin"/>
        </w:r>
        <w:r w:rsidR="002E207A">
          <w:rPr>
            <w:noProof/>
            <w:webHidden/>
          </w:rPr>
          <w:instrText xml:space="preserve"> PAGEREF _Toc343432035 \h </w:instrText>
        </w:r>
        <w:r w:rsidR="002E207A">
          <w:rPr>
            <w:noProof/>
            <w:webHidden/>
          </w:rPr>
        </w:r>
        <w:r w:rsidR="002E207A">
          <w:rPr>
            <w:noProof/>
            <w:webHidden/>
          </w:rPr>
          <w:fldChar w:fldCharType="separate"/>
        </w:r>
        <w:r w:rsidR="00C82CE1">
          <w:rPr>
            <w:noProof/>
            <w:webHidden/>
          </w:rPr>
          <w:t>5</w:t>
        </w:r>
        <w:r w:rsidR="002E207A">
          <w:rPr>
            <w:noProof/>
            <w:webHidden/>
          </w:rPr>
          <w:fldChar w:fldCharType="end"/>
        </w:r>
      </w:hyperlink>
    </w:p>
    <w:p w:rsidR="002E207A" w:rsidRDefault="007649D7">
      <w:pPr>
        <w:pStyle w:val="TOC2"/>
        <w:rPr>
          <w:rFonts w:eastAsia="Times New Roman" w:cs="Times New Roman"/>
          <w:noProof/>
          <w:lang w:eastAsia="en-AU"/>
        </w:rPr>
      </w:pPr>
      <w:hyperlink w:anchor="_Toc343432036" w:history="1">
        <w:r w:rsidR="002E207A" w:rsidRPr="00D1645D">
          <w:rPr>
            <w:rStyle w:val="Hyperlink"/>
            <w:rFonts w:cs="Calibri"/>
            <w:noProof/>
          </w:rPr>
          <w:t>Strategic Priorities 201</w:t>
        </w:r>
        <w:r w:rsidR="002E207A">
          <w:rPr>
            <w:rStyle w:val="Hyperlink"/>
            <w:rFonts w:cs="Calibri"/>
            <w:noProof/>
          </w:rPr>
          <w:t>3</w:t>
        </w:r>
        <w:r w:rsidR="002E207A" w:rsidRPr="00D1645D">
          <w:rPr>
            <w:rStyle w:val="Hyperlink"/>
            <w:rFonts w:cs="Calibri"/>
            <w:noProof/>
          </w:rPr>
          <w:noBreakHyphen/>
          <w:t>16</w:t>
        </w:r>
        <w:r w:rsidR="002E207A">
          <w:rPr>
            <w:noProof/>
            <w:webHidden/>
          </w:rPr>
          <w:tab/>
        </w:r>
        <w:r w:rsidR="002E207A">
          <w:rPr>
            <w:noProof/>
            <w:webHidden/>
          </w:rPr>
          <w:fldChar w:fldCharType="begin"/>
        </w:r>
        <w:r w:rsidR="002E207A">
          <w:rPr>
            <w:noProof/>
            <w:webHidden/>
          </w:rPr>
          <w:instrText xml:space="preserve"> PAGEREF _Toc343432036 \h </w:instrText>
        </w:r>
        <w:r w:rsidR="002E207A">
          <w:rPr>
            <w:noProof/>
            <w:webHidden/>
          </w:rPr>
        </w:r>
        <w:r w:rsidR="002E207A">
          <w:rPr>
            <w:noProof/>
            <w:webHidden/>
          </w:rPr>
          <w:fldChar w:fldCharType="separate"/>
        </w:r>
        <w:r w:rsidR="00C82CE1">
          <w:rPr>
            <w:noProof/>
            <w:webHidden/>
          </w:rPr>
          <w:t>5</w:t>
        </w:r>
        <w:r w:rsidR="002E207A">
          <w:rPr>
            <w:noProof/>
            <w:webHidden/>
          </w:rPr>
          <w:fldChar w:fldCharType="end"/>
        </w:r>
      </w:hyperlink>
    </w:p>
    <w:p w:rsidR="002E207A" w:rsidRDefault="007649D7">
      <w:pPr>
        <w:pStyle w:val="TOC2"/>
        <w:rPr>
          <w:rFonts w:eastAsia="Times New Roman" w:cs="Times New Roman"/>
          <w:noProof/>
          <w:lang w:eastAsia="en-AU"/>
        </w:rPr>
      </w:pPr>
      <w:hyperlink w:anchor="_Toc343432037" w:history="1">
        <w:r w:rsidR="002E207A" w:rsidRPr="00D1645D">
          <w:rPr>
            <w:rStyle w:val="Hyperlink"/>
            <w:rFonts w:cs="Calibri"/>
            <w:noProof/>
          </w:rPr>
          <w:t>Blood Sector Performance Scorecard</w:t>
        </w:r>
        <w:r w:rsidR="002E207A">
          <w:rPr>
            <w:noProof/>
            <w:webHidden/>
          </w:rPr>
          <w:tab/>
        </w:r>
        <w:r w:rsidR="002E207A">
          <w:rPr>
            <w:noProof/>
            <w:webHidden/>
          </w:rPr>
          <w:fldChar w:fldCharType="begin"/>
        </w:r>
        <w:r w:rsidR="002E207A">
          <w:rPr>
            <w:noProof/>
            <w:webHidden/>
          </w:rPr>
          <w:instrText xml:space="preserve"> PAGEREF _Toc343432037 \h </w:instrText>
        </w:r>
        <w:r w:rsidR="002E207A">
          <w:rPr>
            <w:noProof/>
            <w:webHidden/>
          </w:rPr>
        </w:r>
        <w:r w:rsidR="002E207A">
          <w:rPr>
            <w:noProof/>
            <w:webHidden/>
          </w:rPr>
          <w:fldChar w:fldCharType="separate"/>
        </w:r>
        <w:r w:rsidR="00C82CE1">
          <w:rPr>
            <w:noProof/>
            <w:webHidden/>
          </w:rPr>
          <w:t>13</w:t>
        </w:r>
        <w:r w:rsidR="002E207A">
          <w:rPr>
            <w:noProof/>
            <w:webHidden/>
          </w:rPr>
          <w:fldChar w:fldCharType="end"/>
        </w:r>
      </w:hyperlink>
    </w:p>
    <w:p w:rsidR="002E207A" w:rsidRDefault="007649D7">
      <w:pPr>
        <w:pStyle w:val="TOC3"/>
        <w:rPr>
          <w:rFonts w:eastAsia="Times New Roman" w:cs="Times New Roman"/>
          <w:noProof/>
          <w:lang w:eastAsia="en-AU"/>
        </w:rPr>
      </w:pPr>
      <w:hyperlink w:anchor="_Toc343432038" w:history="1">
        <w:r w:rsidR="002E207A" w:rsidRPr="00D1645D">
          <w:rPr>
            <w:rStyle w:val="Hyperlink"/>
            <w:rFonts w:cs="Calibri"/>
            <w:noProof/>
          </w:rPr>
          <w:t xml:space="preserve">Table 2. Health </w:t>
        </w:r>
        <w:r w:rsidR="002E207A">
          <w:rPr>
            <w:rStyle w:val="Hyperlink"/>
            <w:rFonts w:cs="Calibri"/>
            <w:noProof/>
          </w:rPr>
          <w:t>System</w:t>
        </w:r>
        <w:r w:rsidR="002E207A" w:rsidRPr="00D1645D">
          <w:rPr>
            <w:rStyle w:val="Hyperlink"/>
            <w:rFonts w:cs="Calibri"/>
            <w:noProof/>
          </w:rPr>
          <w:t xml:space="preserve"> Performance </w:t>
        </w:r>
        <w:r w:rsidR="002E207A">
          <w:rPr>
            <w:rStyle w:val="Hyperlink"/>
            <w:rFonts w:cs="Calibri"/>
            <w:noProof/>
          </w:rPr>
          <w:t>and the</w:t>
        </w:r>
        <w:r w:rsidR="002E207A" w:rsidRPr="00D1645D">
          <w:rPr>
            <w:rStyle w:val="Hyperlink"/>
            <w:rFonts w:cs="Calibri"/>
            <w:noProof/>
          </w:rPr>
          <w:t xml:space="preserve"> Blood Sector Measures</w:t>
        </w:r>
        <w:r w:rsidR="002E207A">
          <w:rPr>
            <w:noProof/>
            <w:webHidden/>
          </w:rPr>
          <w:tab/>
        </w:r>
        <w:r w:rsidR="002E207A">
          <w:rPr>
            <w:noProof/>
            <w:webHidden/>
          </w:rPr>
          <w:fldChar w:fldCharType="begin"/>
        </w:r>
        <w:r w:rsidR="002E207A">
          <w:rPr>
            <w:noProof/>
            <w:webHidden/>
          </w:rPr>
          <w:instrText xml:space="preserve"> PAGEREF _Toc343432038 \h </w:instrText>
        </w:r>
        <w:r w:rsidR="002E207A">
          <w:rPr>
            <w:noProof/>
            <w:webHidden/>
          </w:rPr>
        </w:r>
        <w:r w:rsidR="002E207A">
          <w:rPr>
            <w:noProof/>
            <w:webHidden/>
          </w:rPr>
          <w:fldChar w:fldCharType="separate"/>
        </w:r>
        <w:r w:rsidR="00C82CE1">
          <w:rPr>
            <w:noProof/>
            <w:webHidden/>
          </w:rPr>
          <w:t>14</w:t>
        </w:r>
        <w:r w:rsidR="002E207A">
          <w:rPr>
            <w:noProof/>
            <w:webHidden/>
          </w:rPr>
          <w:fldChar w:fldCharType="end"/>
        </w:r>
      </w:hyperlink>
    </w:p>
    <w:p w:rsidR="002E207A" w:rsidRDefault="007649D7">
      <w:pPr>
        <w:pStyle w:val="TOC3"/>
        <w:rPr>
          <w:rFonts w:eastAsia="Times New Roman" w:cs="Times New Roman"/>
          <w:noProof/>
          <w:lang w:eastAsia="en-AU"/>
        </w:rPr>
      </w:pPr>
      <w:hyperlink w:anchor="_Toc343432039" w:history="1">
        <w:r w:rsidR="002E207A" w:rsidRPr="00D1645D">
          <w:rPr>
            <w:rStyle w:val="Hyperlink"/>
            <w:rFonts w:cs="Calibri"/>
            <w:noProof/>
          </w:rPr>
          <w:t>Table 3. Blood Sector Performance Scorecard – Supply Data</w:t>
        </w:r>
        <w:r w:rsidR="002E207A">
          <w:rPr>
            <w:noProof/>
            <w:webHidden/>
          </w:rPr>
          <w:tab/>
        </w:r>
        <w:r w:rsidR="002E207A">
          <w:rPr>
            <w:noProof/>
            <w:webHidden/>
          </w:rPr>
          <w:fldChar w:fldCharType="begin"/>
        </w:r>
        <w:r w:rsidR="002E207A">
          <w:rPr>
            <w:noProof/>
            <w:webHidden/>
          </w:rPr>
          <w:instrText xml:space="preserve"> PAGEREF _Toc343432039 \h </w:instrText>
        </w:r>
        <w:r w:rsidR="002E207A">
          <w:rPr>
            <w:noProof/>
            <w:webHidden/>
          </w:rPr>
        </w:r>
        <w:r w:rsidR="002E207A">
          <w:rPr>
            <w:noProof/>
            <w:webHidden/>
          </w:rPr>
          <w:fldChar w:fldCharType="separate"/>
        </w:r>
        <w:r w:rsidR="00C82CE1">
          <w:rPr>
            <w:noProof/>
            <w:webHidden/>
          </w:rPr>
          <w:t>15</w:t>
        </w:r>
        <w:r w:rsidR="002E207A">
          <w:rPr>
            <w:noProof/>
            <w:webHidden/>
          </w:rPr>
          <w:fldChar w:fldCharType="end"/>
        </w:r>
      </w:hyperlink>
    </w:p>
    <w:p w:rsidR="002E207A" w:rsidRDefault="007649D7">
      <w:pPr>
        <w:pStyle w:val="TOC3"/>
        <w:rPr>
          <w:rFonts w:eastAsia="Times New Roman" w:cs="Times New Roman"/>
          <w:noProof/>
          <w:lang w:eastAsia="en-AU"/>
        </w:rPr>
      </w:pPr>
      <w:hyperlink w:anchor="_Toc343432040" w:history="1">
        <w:r w:rsidR="002E207A" w:rsidRPr="00D1645D">
          <w:rPr>
            <w:rStyle w:val="Hyperlink"/>
            <w:rFonts w:cs="Calibri"/>
            <w:noProof/>
          </w:rPr>
          <w:t xml:space="preserve">Table 4. Blood Sector Performance Scorecard – Clinical </w:t>
        </w:r>
        <w:r w:rsidR="002E207A">
          <w:rPr>
            <w:rStyle w:val="Hyperlink"/>
            <w:rFonts w:cs="Calibri"/>
            <w:noProof/>
          </w:rPr>
          <w:t xml:space="preserve">Safety and Quality </w:t>
        </w:r>
        <w:r w:rsidR="002E207A" w:rsidRPr="00D1645D">
          <w:rPr>
            <w:rStyle w:val="Hyperlink"/>
            <w:rFonts w:cs="Calibri"/>
            <w:noProof/>
          </w:rPr>
          <w:t>Data</w:t>
        </w:r>
        <w:r w:rsidR="002E207A">
          <w:rPr>
            <w:noProof/>
            <w:webHidden/>
          </w:rPr>
          <w:tab/>
        </w:r>
        <w:r w:rsidR="002E207A">
          <w:rPr>
            <w:noProof/>
            <w:webHidden/>
          </w:rPr>
          <w:fldChar w:fldCharType="begin"/>
        </w:r>
        <w:r w:rsidR="002E207A">
          <w:rPr>
            <w:noProof/>
            <w:webHidden/>
          </w:rPr>
          <w:instrText xml:space="preserve"> PAGEREF _Toc343432040 \h </w:instrText>
        </w:r>
        <w:r w:rsidR="002E207A">
          <w:rPr>
            <w:noProof/>
            <w:webHidden/>
          </w:rPr>
        </w:r>
        <w:r w:rsidR="002E207A">
          <w:rPr>
            <w:noProof/>
            <w:webHidden/>
          </w:rPr>
          <w:fldChar w:fldCharType="separate"/>
        </w:r>
        <w:r w:rsidR="00C82CE1">
          <w:rPr>
            <w:noProof/>
            <w:webHidden/>
          </w:rPr>
          <w:t>16</w:t>
        </w:r>
        <w:r w:rsidR="002E207A">
          <w:rPr>
            <w:noProof/>
            <w:webHidden/>
          </w:rPr>
          <w:fldChar w:fldCharType="end"/>
        </w:r>
      </w:hyperlink>
    </w:p>
    <w:p w:rsidR="002E207A" w:rsidRDefault="007649D7">
      <w:pPr>
        <w:pStyle w:val="TOC3"/>
        <w:rPr>
          <w:rFonts w:eastAsia="Times New Roman" w:cs="Times New Roman"/>
          <w:noProof/>
          <w:lang w:eastAsia="en-AU"/>
        </w:rPr>
      </w:pPr>
      <w:hyperlink w:anchor="_Toc343432041" w:history="1">
        <w:r w:rsidR="002E207A" w:rsidRPr="00D1645D">
          <w:rPr>
            <w:rStyle w:val="Hyperlink"/>
            <w:rFonts w:cs="Calibri"/>
            <w:noProof/>
          </w:rPr>
          <w:t xml:space="preserve">Table 5. Blood Sector Performance Scorecard </w:t>
        </w:r>
        <w:r w:rsidR="002E207A" w:rsidRPr="00D1645D">
          <w:rPr>
            <w:rStyle w:val="Hyperlink"/>
            <w:rFonts w:cs="Calibri"/>
            <w:noProof/>
          </w:rPr>
          <w:noBreakHyphen/>
          <w:t xml:space="preserve"> Sector Data</w:t>
        </w:r>
        <w:r w:rsidR="002E207A">
          <w:rPr>
            <w:noProof/>
            <w:webHidden/>
          </w:rPr>
          <w:tab/>
        </w:r>
        <w:r w:rsidR="002E207A">
          <w:rPr>
            <w:noProof/>
            <w:webHidden/>
          </w:rPr>
          <w:fldChar w:fldCharType="begin"/>
        </w:r>
        <w:r w:rsidR="002E207A">
          <w:rPr>
            <w:noProof/>
            <w:webHidden/>
          </w:rPr>
          <w:instrText xml:space="preserve"> PAGEREF _Toc343432041 \h </w:instrText>
        </w:r>
        <w:r w:rsidR="002E207A">
          <w:rPr>
            <w:noProof/>
            <w:webHidden/>
          </w:rPr>
        </w:r>
        <w:r w:rsidR="002E207A">
          <w:rPr>
            <w:noProof/>
            <w:webHidden/>
          </w:rPr>
          <w:fldChar w:fldCharType="separate"/>
        </w:r>
        <w:r w:rsidR="00C82CE1">
          <w:rPr>
            <w:noProof/>
            <w:webHidden/>
          </w:rPr>
          <w:t>17</w:t>
        </w:r>
        <w:r w:rsidR="002E207A">
          <w:rPr>
            <w:noProof/>
            <w:webHidden/>
          </w:rPr>
          <w:fldChar w:fldCharType="end"/>
        </w:r>
      </w:hyperlink>
    </w:p>
    <w:p w:rsidR="002E207A" w:rsidRDefault="007649D7">
      <w:pPr>
        <w:pStyle w:val="TOC1"/>
        <w:rPr>
          <w:rFonts w:eastAsia="Times New Roman" w:cs="Times New Roman"/>
          <w:b w:val="0"/>
          <w:caps w:val="0"/>
          <w:noProof/>
          <w:lang w:eastAsia="en-AU"/>
        </w:rPr>
      </w:pPr>
      <w:hyperlink w:anchor="_Toc343432042" w:history="1">
        <w:r w:rsidR="002E207A" w:rsidRPr="00D1645D">
          <w:rPr>
            <w:rStyle w:val="Hyperlink"/>
            <w:rFonts w:cs="Calibri"/>
            <w:noProof/>
          </w:rPr>
          <w:t>Acronyms and glossary of terms</w:t>
        </w:r>
        <w:r w:rsidR="002E207A">
          <w:rPr>
            <w:noProof/>
            <w:webHidden/>
          </w:rPr>
          <w:tab/>
        </w:r>
        <w:r w:rsidR="002E207A">
          <w:rPr>
            <w:noProof/>
            <w:webHidden/>
          </w:rPr>
          <w:fldChar w:fldCharType="begin"/>
        </w:r>
        <w:r w:rsidR="002E207A">
          <w:rPr>
            <w:noProof/>
            <w:webHidden/>
          </w:rPr>
          <w:instrText xml:space="preserve"> PAGEREF _Toc343432042 \h </w:instrText>
        </w:r>
        <w:r w:rsidR="002E207A">
          <w:rPr>
            <w:noProof/>
            <w:webHidden/>
          </w:rPr>
        </w:r>
        <w:r w:rsidR="002E207A">
          <w:rPr>
            <w:noProof/>
            <w:webHidden/>
          </w:rPr>
          <w:fldChar w:fldCharType="separate"/>
        </w:r>
        <w:r w:rsidR="00C82CE1">
          <w:rPr>
            <w:noProof/>
            <w:webHidden/>
          </w:rPr>
          <w:t>18</w:t>
        </w:r>
        <w:r w:rsidR="002E207A">
          <w:rPr>
            <w:noProof/>
            <w:webHidden/>
          </w:rPr>
          <w:fldChar w:fldCharType="end"/>
        </w:r>
      </w:hyperlink>
    </w:p>
    <w:p w:rsidR="002E207A" w:rsidRDefault="007649D7">
      <w:pPr>
        <w:pStyle w:val="TOC2"/>
        <w:rPr>
          <w:rFonts w:eastAsia="Times New Roman" w:cs="Times New Roman"/>
          <w:noProof/>
          <w:lang w:eastAsia="en-AU"/>
        </w:rPr>
      </w:pPr>
      <w:hyperlink w:anchor="_Toc343432043" w:history="1">
        <w:r w:rsidR="002E207A" w:rsidRPr="00D1645D">
          <w:rPr>
            <w:rStyle w:val="Hyperlink"/>
            <w:rFonts w:cs="Calibri"/>
            <w:noProof/>
          </w:rPr>
          <w:t>Acronyms</w:t>
        </w:r>
        <w:r w:rsidR="002E207A">
          <w:rPr>
            <w:noProof/>
            <w:webHidden/>
          </w:rPr>
          <w:tab/>
        </w:r>
        <w:r w:rsidR="002E207A">
          <w:rPr>
            <w:noProof/>
            <w:webHidden/>
          </w:rPr>
          <w:fldChar w:fldCharType="begin"/>
        </w:r>
        <w:r w:rsidR="002E207A">
          <w:rPr>
            <w:noProof/>
            <w:webHidden/>
          </w:rPr>
          <w:instrText xml:space="preserve"> PAGEREF _Toc343432043 \h </w:instrText>
        </w:r>
        <w:r w:rsidR="002E207A">
          <w:rPr>
            <w:noProof/>
            <w:webHidden/>
          </w:rPr>
        </w:r>
        <w:r w:rsidR="002E207A">
          <w:rPr>
            <w:noProof/>
            <w:webHidden/>
          </w:rPr>
          <w:fldChar w:fldCharType="separate"/>
        </w:r>
        <w:r w:rsidR="00C82CE1">
          <w:rPr>
            <w:noProof/>
            <w:webHidden/>
          </w:rPr>
          <w:t>18</w:t>
        </w:r>
        <w:r w:rsidR="002E207A">
          <w:rPr>
            <w:noProof/>
            <w:webHidden/>
          </w:rPr>
          <w:fldChar w:fldCharType="end"/>
        </w:r>
      </w:hyperlink>
    </w:p>
    <w:p w:rsidR="002E207A" w:rsidRDefault="007649D7">
      <w:pPr>
        <w:pStyle w:val="TOC2"/>
        <w:rPr>
          <w:rFonts w:eastAsia="Times New Roman" w:cs="Times New Roman"/>
          <w:noProof/>
          <w:lang w:eastAsia="en-AU"/>
        </w:rPr>
      </w:pPr>
      <w:hyperlink w:anchor="_Toc343432044" w:history="1">
        <w:r w:rsidR="002E207A" w:rsidRPr="00D1645D">
          <w:rPr>
            <w:rStyle w:val="Hyperlink"/>
            <w:rFonts w:cs="Calibri"/>
            <w:noProof/>
          </w:rPr>
          <w:t>Glossary of terms</w:t>
        </w:r>
        <w:r w:rsidR="002E207A">
          <w:rPr>
            <w:noProof/>
            <w:webHidden/>
          </w:rPr>
          <w:tab/>
        </w:r>
        <w:r w:rsidR="002E207A">
          <w:rPr>
            <w:noProof/>
            <w:webHidden/>
          </w:rPr>
          <w:fldChar w:fldCharType="begin"/>
        </w:r>
        <w:r w:rsidR="002E207A">
          <w:rPr>
            <w:noProof/>
            <w:webHidden/>
          </w:rPr>
          <w:instrText xml:space="preserve"> PAGEREF _Toc343432044 \h </w:instrText>
        </w:r>
        <w:r w:rsidR="002E207A">
          <w:rPr>
            <w:noProof/>
            <w:webHidden/>
          </w:rPr>
        </w:r>
        <w:r w:rsidR="002E207A">
          <w:rPr>
            <w:noProof/>
            <w:webHidden/>
          </w:rPr>
          <w:fldChar w:fldCharType="separate"/>
        </w:r>
        <w:r w:rsidR="00C82CE1">
          <w:rPr>
            <w:noProof/>
            <w:webHidden/>
          </w:rPr>
          <w:t>18</w:t>
        </w:r>
        <w:r w:rsidR="002E207A">
          <w:rPr>
            <w:noProof/>
            <w:webHidden/>
          </w:rPr>
          <w:fldChar w:fldCharType="end"/>
        </w:r>
      </w:hyperlink>
    </w:p>
    <w:p w:rsidR="002E207A" w:rsidRDefault="002E207A" w:rsidP="00891D94">
      <w:r w:rsidRPr="00891D94">
        <w:fldChar w:fldCharType="end"/>
      </w:r>
    </w:p>
    <w:p w:rsidR="002E207A" w:rsidRDefault="002E207A" w:rsidP="00891D94"/>
    <w:p w:rsidR="002E207A" w:rsidRDefault="002E207A" w:rsidP="00891D94"/>
    <w:p w:rsidR="002E207A" w:rsidRDefault="002E207A" w:rsidP="00891D94"/>
    <w:p w:rsidR="002E207A" w:rsidRPr="00891D94" w:rsidRDefault="002E207A" w:rsidP="00891D94"/>
    <w:p w:rsidR="002E207A" w:rsidRPr="00891D94" w:rsidRDefault="002E207A" w:rsidP="00891D94"/>
    <w:p w:rsidR="002E207A" w:rsidRDefault="002E207A" w:rsidP="00891D94"/>
    <w:p w:rsidR="002E207A" w:rsidRDefault="002E207A" w:rsidP="00891D94"/>
    <w:p w:rsidR="002E207A" w:rsidRDefault="002E207A" w:rsidP="00891D94"/>
    <w:p w:rsidR="002E207A" w:rsidRPr="00891D94" w:rsidRDefault="002E207A" w:rsidP="00891D94"/>
    <w:p w:rsidR="002E207A" w:rsidRPr="00891D94" w:rsidRDefault="006733AD" w:rsidP="00891D94">
      <w:r>
        <w:rPr>
          <w:noProof/>
          <w:lang w:eastAsia="en-AU"/>
        </w:rPr>
        <mc:AlternateContent>
          <mc:Choice Requires="wps">
            <w:drawing>
              <wp:anchor distT="0" distB="0" distL="114300" distR="114300" simplePos="0" relativeHeight="251659264" behindDoc="0" locked="1" layoutInCell="1" allowOverlap="1" wp14:anchorId="05BC3763" wp14:editId="20A591B5">
                <wp:simplePos x="0" y="0"/>
                <wp:positionH relativeFrom="page">
                  <wp:posOffset>3552825</wp:posOffset>
                </wp:positionH>
                <wp:positionV relativeFrom="page">
                  <wp:posOffset>7741285</wp:posOffset>
                </wp:positionV>
                <wp:extent cx="3171825" cy="2303780"/>
                <wp:effectExtent l="0" t="0" r="9525" b="127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2303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49D7" w:rsidRDefault="007649D7" w:rsidP="00F03972">
                            <w:pPr>
                              <w:pStyle w:val="NoSpacing"/>
                              <w:jc w:val="right"/>
                              <w:rPr>
                                <w:b/>
                              </w:rPr>
                            </w:pPr>
                            <w:r>
                              <w:rPr>
                                <w:b/>
                                <w:noProof/>
                                <w:lang w:val="en-AU" w:eastAsia="en-AU"/>
                              </w:rPr>
                              <w:drawing>
                                <wp:inline distT="0" distB="0" distL="0" distR="0" wp14:anchorId="13F6CEFD" wp14:editId="7E6F7A20">
                                  <wp:extent cx="2514600" cy="469819"/>
                                  <wp:effectExtent l="0" t="0" r="0" b="6985"/>
                                  <wp:docPr id="18" name="Picture 23" descr="National Blood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514600" cy="469819"/>
                                          </a:xfrm>
                                          <a:prstGeom prst="rect">
                                            <a:avLst/>
                                          </a:prstGeom>
                                          <a:noFill/>
                                          <a:ln>
                                            <a:noFill/>
                                          </a:ln>
                                        </pic:spPr>
                                      </pic:pic>
                                    </a:graphicData>
                                  </a:graphic>
                                </wp:inline>
                              </w:drawing>
                            </w:r>
                          </w:p>
                          <w:p w:rsidR="007649D7" w:rsidRDefault="007649D7" w:rsidP="00F03972">
                            <w:pPr>
                              <w:pStyle w:val="NoSpacing"/>
                              <w:jc w:val="right"/>
                              <w:rPr>
                                <w:b/>
                              </w:rPr>
                            </w:pPr>
                          </w:p>
                          <w:p w:rsidR="007649D7" w:rsidRPr="004C7DF0" w:rsidRDefault="007649D7" w:rsidP="00A04E07">
                            <w:pPr>
                              <w:pStyle w:val="NoSpacing"/>
                              <w:jc w:val="right"/>
                            </w:pPr>
                            <w:r w:rsidRPr="004C7DF0">
                              <w:t>Locked Bag 8430</w:t>
                            </w:r>
                          </w:p>
                          <w:p w:rsidR="007649D7" w:rsidRDefault="007649D7" w:rsidP="00A04E07">
                            <w:pPr>
                              <w:pStyle w:val="NoSpacing"/>
                              <w:jc w:val="right"/>
                            </w:pPr>
                            <w:smartTag w:uri="urn:schemas-microsoft-com:office:smarttags" w:element="place">
                              <w:smartTag w:uri="urn:schemas-microsoft-com:office:smarttags" w:element="City">
                                <w:r w:rsidRPr="004C7DF0">
                                  <w:t>Canberra</w:t>
                                </w:r>
                              </w:smartTag>
                            </w:smartTag>
                            <w:r w:rsidRPr="004C7DF0">
                              <w:t xml:space="preserve"> ACT 2601</w:t>
                            </w:r>
                          </w:p>
                          <w:p w:rsidR="007649D7" w:rsidRDefault="007649D7" w:rsidP="00A04E07">
                            <w:pPr>
                              <w:pStyle w:val="NoSpacing"/>
                              <w:jc w:val="right"/>
                            </w:pPr>
                            <w:r>
                              <w:t>Phone: 13 000 BLOOD (13000 25663)</w:t>
                            </w:r>
                          </w:p>
                          <w:p w:rsidR="007649D7" w:rsidRDefault="007649D7" w:rsidP="00A04E07">
                            <w:pPr>
                              <w:pStyle w:val="NoSpacing"/>
                              <w:jc w:val="right"/>
                            </w:pPr>
                            <w:r w:rsidRPr="009F1E0E">
                              <w:t xml:space="preserve">Email: </w:t>
                            </w:r>
                            <w:hyperlink r:id="rId10" w:history="1">
                              <w:r w:rsidRPr="00C33855">
                                <w:rPr>
                                  <w:rStyle w:val="Hyperlink"/>
                                  <w:rFonts w:cs="Calibri"/>
                                </w:rPr>
                                <w:t>data@blood.gov.au</w:t>
                              </w:r>
                            </w:hyperlink>
                            <w:r>
                              <w:t xml:space="preserve"> Web:</w:t>
                            </w:r>
                            <w:r w:rsidDel="00F83546">
                              <w:t xml:space="preserve"> </w:t>
                            </w:r>
                            <w:hyperlink r:id="rId11" w:history="1"/>
                            <w:hyperlink r:id="rId12" w:history="1">
                              <w:r w:rsidRPr="00C74209">
                                <w:rPr>
                                  <w:rStyle w:val="Hyperlink"/>
                                  <w:rFonts w:cs="Calibri"/>
                                </w:rPr>
                                <w:t>www.blood.gov.au</w:t>
                              </w:r>
                            </w:hyperlink>
                          </w:p>
                          <w:p w:rsidR="007649D7" w:rsidRDefault="007649D7" w:rsidP="00A04E07">
                            <w:pPr>
                              <w:pStyle w:val="NoSpacing"/>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279.75pt;margin-top:609.55pt;width:249.75pt;height:18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848hQIAABI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" stroked="f">
                <v:textbox>
                  <w:txbxContent>
                    <w:p w:rsidR="007649D7" w:rsidRDefault="007649D7" w:rsidP="00F03972">
                      <w:pPr>
                        <w:pStyle w:val="NoSpacing"/>
                        <w:jc w:val="right"/>
                        <w:rPr>
                          <w:b/>
                        </w:rPr>
                      </w:pPr>
                      <w:r>
                        <w:rPr>
                          <w:b/>
                          <w:noProof/>
                          <w:lang w:val="en-AU" w:eastAsia="en-AU"/>
                        </w:rPr>
                        <w:drawing>
                          <wp:inline distT="0" distB="0" distL="0" distR="0" wp14:anchorId="13F6CEFD" wp14:editId="7E6F7A20">
                            <wp:extent cx="2514600" cy="469819"/>
                            <wp:effectExtent l="0" t="0" r="0" b="6985"/>
                            <wp:docPr id="18" name="Picture 23" descr="National Blood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514600" cy="469819"/>
                                    </a:xfrm>
                                    <a:prstGeom prst="rect">
                                      <a:avLst/>
                                    </a:prstGeom>
                                    <a:noFill/>
                                    <a:ln>
                                      <a:noFill/>
                                    </a:ln>
                                  </pic:spPr>
                                </pic:pic>
                              </a:graphicData>
                            </a:graphic>
                          </wp:inline>
                        </w:drawing>
                      </w:r>
                    </w:p>
                    <w:p w:rsidR="007649D7" w:rsidRDefault="007649D7" w:rsidP="00F03972">
                      <w:pPr>
                        <w:pStyle w:val="NoSpacing"/>
                        <w:jc w:val="right"/>
                        <w:rPr>
                          <w:b/>
                        </w:rPr>
                      </w:pPr>
                    </w:p>
                    <w:p w:rsidR="007649D7" w:rsidRPr="004C7DF0" w:rsidRDefault="007649D7" w:rsidP="00A04E07">
                      <w:pPr>
                        <w:pStyle w:val="NoSpacing"/>
                        <w:jc w:val="right"/>
                      </w:pPr>
                      <w:r w:rsidRPr="004C7DF0">
                        <w:t>Locked Bag 8430</w:t>
                      </w:r>
                    </w:p>
                    <w:p w:rsidR="007649D7" w:rsidRDefault="007649D7" w:rsidP="00A04E07">
                      <w:pPr>
                        <w:pStyle w:val="NoSpacing"/>
                        <w:jc w:val="right"/>
                      </w:pPr>
                      <w:smartTag w:uri="urn:schemas-microsoft-com:office:smarttags" w:element="place">
                        <w:smartTag w:uri="urn:schemas-microsoft-com:office:smarttags" w:element="City">
                          <w:r w:rsidRPr="004C7DF0">
                            <w:t>Canberra</w:t>
                          </w:r>
                        </w:smartTag>
                      </w:smartTag>
                      <w:r w:rsidRPr="004C7DF0">
                        <w:t xml:space="preserve"> ACT 2601</w:t>
                      </w:r>
                    </w:p>
                    <w:p w:rsidR="007649D7" w:rsidRDefault="007649D7" w:rsidP="00A04E07">
                      <w:pPr>
                        <w:pStyle w:val="NoSpacing"/>
                        <w:jc w:val="right"/>
                      </w:pPr>
                      <w:r>
                        <w:t>Phone: 13 000 BLOOD (13000 25663)</w:t>
                      </w:r>
                    </w:p>
                    <w:p w:rsidR="007649D7" w:rsidRDefault="007649D7" w:rsidP="00A04E07">
                      <w:pPr>
                        <w:pStyle w:val="NoSpacing"/>
                        <w:jc w:val="right"/>
                      </w:pPr>
                      <w:r w:rsidRPr="009F1E0E">
                        <w:t xml:space="preserve">Email: </w:t>
                      </w:r>
                      <w:hyperlink r:id="rId13" w:history="1">
                        <w:r w:rsidRPr="00C33855">
                          <w:rPr>
                            <w:rStyle w:val="Hyperlink"/>
                            <w:rFonts w:cs="Calibri"/>
                          </w:rPr>
                          <w:t>data@blood.gov.au</w:t>
                        </w:r>
                      </w:hyperlink>
                      <w:r>
                        <w:t xml:space="preserve"> Web:</w:t>
                      </w:r>
                      <w:r w:rsidDel="00F83546">
                        <w:t xml:space="preserve"> </w:t>
                      </w:r>
                      <w:hyperlink r:id="rId14" w:history="1"/>
                      <w:hyperlink r:id="rId15" w:history="1">
                        <w:r w:rsidRPr="00C74209">
                          <w:rPr>
                            <w:rStyle w:val="Hyperlink"/>
                            <w:rFonts w:cs="Calibri"/>
                          </w:rPr>
                          <w:t>www.blood.gov.au</w:t>
                        </w:r>
                      </w:hyperlink>
                    </w:p>
                    <w:p w:rsidR="007649D7" w:rsidRDefault="007649D7" w:rsidP="00A04E07">
                      <w:pPr>
                        <w:pStyle w:val="NoSpacing"/>
                        <w:jc w:val="right"/>
                      </w:pPr>
                    </w:p>
                  </w:txbxContent>
                </v:textbox>
                <w10:wrap anchorx="page" anchory="page"/>
                <w10:anchorlock/>
              </v:shape>
            </w:pict>
          </mc:Fallback>
        </mc:AlternateContent>
      </w:r>
    </w:p>
    <w:p w:rsidR="002E207A" w:rsidRPr="00891D94" w:rsidRDefault="002E207A" w:rsidP="00FF348C">
      <w:pPr>
        <w:pStyle w:val="Heading1"/>
        <w:ind w:right="5"/>
      </w:pPr>
      <w:bookmarkStart w:id="0" w:name="_Toc343432032"/>
      <w:r w:rsidRPr="00891D94">
        <w:lastRenderedPageBreak/>
        <w:t>Document purpose</w:t>
      </w:r>
      <w:bookmarkEnd w:id="0"/>
    </w:p>
    <w:p w:rsidR="002E207A" w:rsidRPr="00861CA7" w:rsidRDefault="002E207A" w:rsidP="002F4F9E">
      <w:bookmarkStart w:id="1" w:name="_Toc320605105"/>
      <w:r w:rsidRPr="00861CA7">
        <w:t xml:space="preserve">The </w:t>
      </w:r>
      <w:r w:rsidRPr="00861CA7">
        <w:rPr>
          <w:i/>
        </w:rPr>
        <w:t>National Blood Authority Act 2003</w:t>
      </w:r>
      <w:r w:rsidRPr="00861CA7">
        <w:t xml:space="preserve"> </w:t>
      </w:r>
      <w:r>
        <w:t>states</w:t>
      </w:r>
      <w:r w:rsidRPr="00861CA7">
        <w:t xml:space="preserve"> </w:t>
      </w:r>
      <w:r>
        <w:t xml:space="preserve">that </w:t>
      </w:r>
      <w:r w:rsidRPr="00861CA7">
        <w:t xml:space="preserve">the NBA </w:t>
      </w:r>
      <w:r>
        <w:t>is “</w:t>
      </w:r>
      <w:r w:rsidRPr="00861CA7">
        <w:rPr>
          <w:i/>
        </w:rPr>
        <w:t>to liaise with, and gather information from, governments, suppliers and others about matters relating</w:t>
      </w:r>
      <w:r>
        <w:rPr>
          <w:i/>
        </w:rPr>
        <w:t xml:space="preserve"> to blood products and services”,  </w:t>
      </w:r>
      <w:r w:rsidRPr="00861CA7">
        <w:t>and to provide information, advice and assistance to various stakeholders under the national blood arrangements</w:t>
      </w:r>
      <w:r>
        <w:t>.</w:t>
      </w:r>
    </w:p>
    <w:p w:rsidR="002E207A" w:rsidRPr="00450219" w:rsidRDefault="002E207A" w:rsidP="00450219">
      <w:r w:rsidRPr="00450219">
        <w:t>The National Blood Agreement requires the NBA to perform the following activities and to facilitate coordination and information exchange with relevant stakeholders</w:t>
      </w:r>
      <w:bookmarkEnd w:id="1"/>
      <w:r>
        <w:t>:</w:t>
      </w:r>
    </w:p>
    <w:p w:rsidR="002E207A" w:rsidRDefault="002E207A" w:rsidP="00450219">
      <w:pPr>
        <w:pStyle w:val="ListParagraph"/>
        <w:numPr>
          <w:ilvl w:val="0"/>
          <w:numId w:val="28"/>
        </w:numPr>
        <w:spacing w:after="0"/>
      </w:pPr>
      <w:r w:rsidRPr="00110083">
        <w:t>promote optimal safety and quality in the supply, management and use of products, including thr</w:t>
      </w:r>
      <w:r>
        <w:t>ough uniform national standards</w:t>
      </w:r>
    </w:p>
    <w:p w:rsidR="002E207A" w:rsidRPr="00110083" w:rsidRDefault="002E207A" w:rsidP="00450219">
      <w:pPr>
        <w:pStyle w:val="ListParagraph"/>
        <w:numPr>
          <w:ilvl w:val="0"/>
          <w:numId w:val="28"/>
        </w:numPr>
        <w:spacing w:after="0"/>
      </w:pPr>
      <w:r w:rsidRPr="00110083">
        <w:t>make best use of available resources, and to give financial and performance accountability for the use of resources by all entities involved</w:t>
      </w:r>
      <w:r>
        <w:t xml:space="preserve"> in the Australian blood sector</w:t>
      </w:r>
    </w:p>
    <w:p w:rsidR="002E207A" w:rsidRPr="00F169DC" w:rsidRDefault="002E207A" w:rsidP="00450219">
      <w:pPr>
        <w:numPr>
          <w:ilvl w:val="0"/>
          <w:numId w:val="28"/>
        </w:numPr>
        <w:spacing w:after="0"/>
      </w:pPr>
      <w:r w:rsidRPr="00110083">
        <w:t>undertake national information gathering, monitoring of new developments, reporting and research in relation</w:t>
      </w:r>
      <w:r>
        <w:t xml:space="preserve"> to the Australian blood sector</w:t>
      </w:r>
      <w:r w:rsidRPr="00F169DC">
        <w:rPr>
          <w:rFonts w:ascii="Cambria" w:eastAsia="Times New Roman" w:hAnsi="Cambria" w:cs="Times New Roman"/>
          <w:i/>
          <w:color w:val="005374"/>
        </w:rPr>
        <w:t xml:space="preserve"> </w:t>
      </w:r>
    </w:p>
    <w:p w:rsidR="002E207A" w:rsidRPr="00F169DC" w:rsidRDefault="002E207A" w:rsidP="00450219">
      <w:pPr>
        <w:numPr>
          <w:ilvl w:val="0"/>
          <w:numId w:val="28"/>
        </w:numPr>
        <w:spacing w:after="0"/>
      </w:pPr>
      <w:r w:rsidRPr="00110083">
        <w:t>undertake or facilitate national information management, benchmarking and cost and performance evaluatio</w:t>
      </w:r>
      <w:r>
        <w:t>n for the national blood supply</w:t>
      </w:r>
      <w:r w:rsidRPr="00F169DC">
        <w:rPr>
          <w:rFonts w:ascii="Cambria" w:eastAsia="Times New Roman" w:hAnsi="Cambria" w:cs="Times New Roman"/>
          <w:i/>
          <w:color w:val="005374"/>
        </w:rPr>
        <w:t xml:space="preserve"> </w:t>
      </w:r>
    </w:p>
    <w:p w:rsidR="002E207A" w:rsidRDefault="002E207A" w:rsidP="00450219">
      <w:pPr>
        <w:numPr>
          <w:ilvl w:val="0"/>
          <w:numId w:val="28"/>
        </w:numPr>
        <w:spacing w:after="0"/>
      </w:pPr>
      <w:r w:rsidRPr="00F169DC">
        <w:t>facilitate the development of national information systems for safety and quality issues in relation to the Australian blood sector.</w:t>
      </w:r>
    </w:p>
    <w:p w:rsidR="001B576B" w:rsidRPr="00110083" w:rsidRDefault="001B576B" w:rsidP="001B576B">
      <w:pPr>
        <w:spacing w:after="0"/>
        <w:ind w:left="360"/>
      </w:pPr>
    </w:p>
    <w:p w:rsidR="001B576B" w:rsidRPr="001B576B" w:rsidRDefault="001B576B" w:rsidP="001B576B">
      <w:pPr>
        <w:rPr>
          <w:rFonts w:asciiTheme="minorHAnsi" w:hAnsiTheme="minorHAnsi" w:cstheme="minorHAnsi"/>
          <w:i/>
        </w:rPr>
      </w:pPr>
      <w:r w:rsidRPr="001B576B">
        <w:rPr>
          <w:rFonts w:asciiTheme="minorHAnsi" w:hAnsiTheme="minorHAnsi" w:cstheme="minorHAnsi"/>
        </w:rPr>
        <w:t xml:space="preserve">The Jurisdictional Blood Committee (JBC) Strategic Plan 2013-15 under goal 2 requires as a strategic priority for the JBC to </w:t>
      </w:r>
      <w:r w:rsidRPr="001B576B">
        <w:rPr>
          <w:rFonts w:asciiTheme="minorHAnsi" w:hAnsiTheme="minorHAnsi" w:cstheme="minorHAnsi"/>
          <w:i/>
        </w:rPr>
        <w:t>“Improve our evidence base to better understand blood and blood product management and use and identify opportunities for improvement (2.2)”</w:t>
      </w:r>
      <w:r w:rsidRPr="001B576B">
        <w:rPr>
          <w:rFonts w:asciiTheme="minorHAnsi" w:hAnsiTheme="minorHAnsi" w:cstheme="minorHAnsi"/>
        </w:rPr>
        <w:t>.  In doing this they: “</w:t>
      </w:r>
      <w:r w:rsidRPr="001B576B">
        <w:rPr>
          <w:rFonts w:asciiTheme="minorHAnsi" w:hAnsiTheme="minorHAnsi" w:cstheme="minorHAnsi"/>
          <w:i/>
        </w:rPr>
        <w:t>Support the finalisation of a national data strategy for the blood sector as the basis for ongoing data analysis and feedback to JBC. Review the National Information and Data Strategy for approval. Facilitate development of governance arrangements for analysis and publication of data.”</w:t>
      </w:r>
    </w:p>
    <w:p w:rsidR="002E207A" w:rsidRDefault="002E207A" w:rsidP="00450219">
      <w:pPr>
        <w:pStyle w:val="ListParagraph"/>
        <w:ind w:left="0"/>
      </w:pPr>
      <w:r w:rsidRPr="004F0F9E">
        <w:t xml:space="preserve">The National Blood </w:t>
      </w:r>
      <w:r w:rsidRPr="00436FB0">
        <w:t xml:space="preserve">Sector </w:t>
      </w:r>
      <w:r w:rsidRPr="004F0F9E">
        <w:t>Data and Information Strategy 2013</w:t>
      </w:r>
      <w:r w:rsidRPr="004F0F9E">
        <w:noBreakHyphen/>
        <w:t xml:space="preserve">2016 outlines the </w:t>
      </w:r>
      <w:r w:rsidRPr="003A125B">
        <w:rPr>
          <w:bCs/>
        </w:rPr>
        <w:t xml:space="preserve">direction </w:t>
      </w:r>
      <w:r w:rsidRPr="003A125B">
        <w:t xml:space="preserve">and </w:t>
      </w:r>
      <w:r w:rsidRPr="003A125B">
        <w:rPr>
          <w:bCs/>
        </w:rPr>
        <w:t>scope</w:t>
      </w:r>
      <w:r w:rsidRPr="003A125B">
        <w:t xml:space="preserve"> of data and information development for the blood sector over the next three years</w:t>
      </w:r>
      <w:r w:rsidRPr="004F0F9E">
        <w:t xml:space="preserve"> </w:t>
      </w:r>
      <w:r w:rsidRPr="00436FB0">
        <w:t>to meet the requirements identified above</w:t>
      </w:r>
      <w:r>
        <w:t xml:space="preserve">. </w:t>
      </w:r>
    </w:p>
    <w:p w:rsidR="003F0FDA" w:rsidRPr="00110083" w:rsidRDefault="003F0FDA" w:rsidP="00450219">
      <w:pPr>
        <w:pStyle w:val="ListParagraph"/>
        <w:ind w:left="0"/>
        <w:rPr>
          <w:rStyle w:val="Heading1Char"/>
          <w:rFonts w:cs="Times New Roman"/>
          <w:bCs/>
          <w:sz w:val="22"/>
        </w:rPr>
      </w:pPr>
    </w:p>
    <w:p w:rsidR="002E207A" w:rsidRDefault="002E207A" w:rsidP="009960EE">
      <w:pPr>
        <w:rPr>
          <w:rStyle w:val="Heading1Char"/>
          <w:rFonts w:cs="Times New Roman"/>
          <w:bCs/>
          <w:szCs w:val="60"/>
        </w:rPr>
      </w:pPr>
    </w:p>
    <w:p w:rsidR="002E207A" w:rsidRPr="00F03972" w:rsidRDefault="002E207A" w:rsidP="00F03972">
      <w:pPr>
        <w:pStyle w:val="Heading1"/>
      </w:pPr>
      <w:bookmarkStart w:id="2" w:name="_Toc343432033"/>
      <w:r>
        <w:lastRenderedPageBreak/>
        <w:t>Introduction</w:t>
      </w:r>
      <w:bookmarkEnd w:id="2"/>
    </w:p>
    <w:p w:rsidR="002E207A" w:rsidRPr="0042490B" w:rsidRDefault="002E207A" w:rsidP="00A04E07">
      <w:r>
        <w:t>T</w:t>
      </w:r>
      <w:r w:rsidRPr="0042490B">
        <w:t xml:space="preserve">he Australian blood sector faces immediate and ongoing challenges to </w:t>
      </w:r>
      <w:r>
        <w:t>meet the demand for blood and blood products.</w:t>
      </w:r>
      <w:r w:rsidRPr="0042490B">
        <w:t xml:space="preserve">  A number of factors will continue to put pressure on the sustainability of the blood sector, including: </w:t>
      </w:r>
    </w:p>
    <w:p w:rsidR="002E207A" w:rsidRPr="0042490B" w:rsidRDefault="002E207A" w:rsidP="00A04E07">
      <w:pPr>
        <w:pStyle w:val="BodyText3"/>
        <w:numPr>
          <w:ilvl w:val="0"/>
          <w:numId w:val="9"/>
        </w:numPr>
        <w:spacing w:after="0"/>
        <w:rPr>
          <w:rFonts w:ascii="Calibri" w:hAnsi="Calibri" w:cs="Calibri"/>
          <w:sz w:val="22"/>
          <w:szCs w:val="22"/>
        </w:rPr>
      </w:pPr>
      <w:r w:rsidRPr="0042490B">
        <w:rPr>
          <w:rFonts w:ascii="Calibri" w:hAnsi="Calibri" w:cs="Calibri"/>
          <w:sz w:val="22"/>
          <w:szCs w:val="22"/>
        </w:rPr>
        <w:t xml:space="preserve">an ageing population </w:t>
      </w:r>
      <w:r>
        <w:rPr>
          <w:rFonts w:ascii="Calibri" w:hAnsi="Calibri" w:cs="Calibri"/>
          <w:sz w:val="22"/>
          <w:szCs w:val="22"/>
        </w:rPr>
        <w:t xml:space="preserve">that </w:t>
      </w:r>
      <w:r w:rsidRPr="0042490B">
        <w:rPr>
          <w:rFonts w:ascii="Calibri" w:hAnsi="Calibri" w:cs="Calibri"/>
          <w:sz w:val="22"/>
          <w:szCs w:val="22"/>
        </w:rPr>
        <w:t>will increase demand for blood and blood products while concurrently reducing the pool of donors for the blood supply</w:t>
      </w:r>
      <w:r>
        <w:rPr>
          <w:rFonts w:ascii="Calibri" w:hAnsi="Calibri" w:cs="Calibri"/>
          <w:sz w:val="22"/>
          <w:szCs w:val="22"/>
        </w:rPr>
        <w:t xml:space="preserve"> </w:t>
      </w:r>
      <w:r>
        <w:rPr>
          <w:rFonts w:ascii="Calibri" w:hAnsi="Calibri" w:cs="Calibri"/>
          <w:sz w:val="22"/>
          <w:szCs w:val="22"/>
        </w:rPr>
        <w:noBreakHyphen/>
        <w:t xml:space="preserve"> </w:t>
      </w:r>
    </w:p>
    <w:p w:rsidR="002E207A" w:rsidRPr="0042490B" w:rsidRDefault="002E207A" w:rsidP="00A04E07">
      <w:pPr>
        <w:pStyle w:val="BodyText3"/>
        <w:numPr>
          <w:ilvl w:val="0"/>
          <w:numId w:val="9"/>
        </w:numPr>
        <w:spacing w:after="0"/>
        <w:rPr>
          <w:rFonts w:ascii="Calibri" w:hAnsi="Calibri" w:cs="Calibri"/>
          <w:sz w:val="22"/>
          <w:szCs w:val="22"/>
        </w:rPr>
      </w:pPr>
      <w:r>
        <w:rPr>
          <w:rFonts w:ascii="Calibri" w:hAnsi="Calibri" w:cs="Calibri"/>
          <w:sz w:val="22"/>
          <w:szCs w:val="22"/>
        </w:rPr>
        <w:t>sub-optimal</w:t>
      </w:r>
      <w:r w:rsidRPr="0042490B">
        <w:rPr>
          <w:rFonts w:ascii="Calibri" w:hAnsi="Calibri" w:cs="Calibri"/>
          <w:sz w:val="22"/>
          <w:szCs w:val="22"/>
        </w:rPr>
        <w:t xml:space="preserve"> use of blood and blood products, which is an additional ri</w:t>
      </w:r>
      <w:r>
        <w:rPr>
          <w:rFonts w:ascii="Calibri" w:hAnsi="Calibri" w:cs="Calibri"/>
          <w:sz w:val="22"/>
          <w:szCs w:val="22"/>
        </w:rPr>
        <w:t>sk factor for adverse patient outcomes</w:t>
      </w:r>
    </w:p>
    <w:p w:rsidR="002E207A" w:rsidRDefault="002E207A" w:rsidP="00A04E07">
      <w:pPr>
        <w:pStyle w:val="BodyText3"/>
        <w:numPr>
          <w:ilvl w:val="0"/>
          <w:numId w:val="9"/>
        </w:numPr>
        <w:spacing w:after="0"/>
        <w:rPr>
          <w:rFonts w:ascii="Calibri" w:hAnsi="Calibri" w:cs="Calibri"/>
          <w:sz w:val="22"/>
          <w:szCs w:val="22"/>
        </w:rPr>
      </w:pPr>
      <w:r>
        <w:rPr>
          <w:rFonts w:ascii="Calibri" w:hAnsi="Calibri" w:cs="Calibri"/>
          <w:sz w:val="22"/>
          <w:szCs w:val="22"/>
        </w:rPr>
        <w:t xml:space="preserve">lack of information about how, where and why blood products are used </w:t>
      </w:r>
    </w:p>
    <w:p w:rsidR="002E207A" w:rsidRPr="0042490B" w:rsidRDefault="002E207A" w:rsidP="00A04E07">
      <w:pPr>
        <w:pStyle w:val="BodyText3"/>
        <w:numPr>
          <w:ilvl w:val="0"/>
          <w:numId w:val="9"/>
        </w:numPr>
        <w:spacing w:after="0"/>
        <w:rPr>
          <w:rFonts w:ascii="Calibri" w:hAnsi="Calibri" w:cs="Calibri"/>
          <w:sz w:val="22"/>
          <w:szCs w:val="22"/>
        </w:rPr>
      </w:pPr>
      <w:r w:rsidRPr="0042490B">
        <w:rPr>
          <w:rFonts w:ascii="Calibri" w:hAnsi="Calibri" w:cs="Calibri"/>
          <w:sz w:val="22"/>
          <w:szCs w:val="22"/>
        </w:rPr>
        <w:t>lack of data and performance measures to influence change at either the hos</w:t>
      </w:r>
      <w:r>
        <w:rPr>
          <w:rFonts w:ascii="Calibri" w:hAnsi="Calibri" w:cs="Calibri"/>
          <w:sz w:val="22"/>
          <w:szCs w:val="22"/>
        </w:rPr>
        <w:t>pital system or clinician level</w:t>
      </w:r>
    </w:p>
    <w:p w:rsidR="002E207A" w:rsidRDefault="002E207A" w:rsidP="00A04E07">
      <w:pPr>
        <w:pStyle w:val="BodyText3"/>
        <w:numPr>
          <w:ilvl w:val="0"/>
          <w:numId w:val="9"/>
        </w:numPr>
        <w:spacing w:after="0"/>
        <w:rPr>
          <w:rFonts w:ascii="Calibri" w:hAnsi="Calibri" w:cs="Calibri"/>
          <w:sz w:val="22"/>
          <w:szCs w:val="22"/>
        </w:rPr>
      </w:pPr>
      <w:r>
        <w:rPr>
          <w:rFonts w:ascii="Calibri" w:hAnsi="Calibri" w:cs="Calibri"/>
          <w:sz w:val="22"/>
          <w:szCs w:val="22"/>
        </w:rPr>
        <w:t xml:space="preserve">an increase in financial pressures on the health system </w:t>
      </w:r>
    </w:p>
    <w:p w:rsidR="002E207A" w:rsidRPr="002F4F9E" w:rsidRDefault="002E207A" w:rsidP="002F4F9E">
      <w:pPr>
        <w:pStyle w:val="BodyText3"/>
        <w:numPr>
          <w:ilvl w:val="0"/>
          <w:numId w:val="9"/>
        </w:numPr>
        <w:spacing w:after="0"/>
        <w:rPr>
          <w:rFonts w:ascii="Calibri" w:hAnsi="Calibri" w:cs="Calibri"/>
          <w:sz w:val="22"/>
          <w:szCs w:val="22"/>
        </w:rPr>
      </w:pPr>
      <w:r w:rsidRPr="002F4F9E">
        <w:rPr>
          <w:rFonts w:ascii="Calibri" w:hAnsi="Calibri" w:cs="Calibri"/>
          <w:sz w:val="22"/>
          <w:szCs w:val="22"/>
        </w:rPr>
        <w:t xml:space="preserve">higher cost of producing plasma derived products in </w:t>
      </w:r>
      <w:smartTag w:uri="urn:schemas-microsoft-com:office:smarttags" w:element="place">
        <w:smartTag w:uri="urn:schemas-microsoft-com:office:smarttags" w:element="country-region">
          <w:r w:rsidRPr="002F4F9E">
            <w:rPr>
              <w:rFonts w:ascii="Calibri" w:hAnsi="Calibri" w:cs="Calibri"/>
              <w:sz w:val="22"/>
              <w:szCs w:val="22"/>
            </w:rPr>
            <w:t>Australia</w:t>
          </w:r>
        </w:smartTag>
      </w:smartTag>
      <w:r w:rsidRPr="002F4F9E">
        <w:rPr>
          <w:rFonts w:ascii="Calibri" w:hAnsi="Calibri" w:cs="Calibri"/>
          <w:sz w:val="22"/>
          <w:szCs w:val="22"/>
        </w:rPr>
        <w:t xml:space="preserve"> than overseas and</w:t>
      </w:r>
      <w:r>
        <w:rPr>
          <w:rFonts w:ascii="Calibri" w:hAnsi="Calibri" w:cs="Calibri"/>
          <w:sz w:val="22"/>
          <w:szCs w:val="22"/>
        </w:rPr>
        <w:t xml:space="preserve"> </w:t>
      </w:r>
      <w:r w:rsidRPr="002F4F9E">
        <w:rPr>
          <w:rFonts w:ascii="Calibri" w:hAnsi="Calibri" w:cs="Calibri"/>
          <w:sz w:val="22"/>
          <w:szCs w:val="22"/>
        </w:rPr>
        <w:t>limited capacity for any substantial growth of the domestic plasma donor pool</w:t>
      </w:r>
    </w:p>
    <w:p w:rsidR="002E207A" w:rsidRDefault="002E207A" w:rsidP="00A04E07">
      <w:pPr>
        <w:pStyle w:val="BodyText3"/>
        <w:numPr>
          <w:ilvl w:val="0"/>
          <w:numId w:val="9"/>
        </w:numPr>
        <w:spacing w:after="0"/>
        <w:rPr>
          <w:rFonts w:ascii="Calibri" w:hAnsi="Calibri" w:cs="Calibri"/>
          <w:sz w:val="22"/>
          <w:szCs w:val="22"/>
        </w:rPr>
      </w:pPr>
      <w:r w:rsidRPr="0042490B">
        <w:rPr>
          <w:rFonts w:ascii="Calibri" w:hAnsi="Calibri" w:cs="Calibri"/>
          <w:sz w:val="22"/>
          <w:szCs w:val="22"/>
        </w:rPr>
        <w:t>avoidable wastage due to during transport and inventory practices</w:t>
      </w:r>
      <w:r>
        <w:rPr>
          <w:rFonts w:ascii="Calibri" w:hAnsi="Calibri" w:cs="Calibri"/>
          <w:sz w:val="22"/>
          <w:szCs w:val="22"/>
        </w:rPr>
        <w:t xml:space="preserve"> and product expiry</w:t>
      </w:r>
      <w:r w:rsidRPr="0042490B">
        <w:rPr>
          <w:rFonts w:ascii="Calibri" w:hAnsi="Calibri" w:cs="Calibri"/>
          <w:sz w:val="22"/>
          <w:szCs w:val="22"/>
        </w:rPr>
        <w:t>.</w:t>
      </w:r>
    </w:p>
    <w:p w:rsidR="002E207A" w:rsidRPr="0042490B" w:rsidRDefault="002E207A" w:rsidP="00A04E07">
      <w:pPr>
        <w:pStyle w:val="NoSpacing"/>
      </w:pPr>
    </w:p>
    <w:p w:rsidR="002E207A" w:rsidRPr="009F1E0E" w:rsidRDefault="002E207A" w:rsidP="00A04E07">
      <w:r w:rsidRPr="009F1E0E">
        <w:t xml:space="preserve">The scale of change required to address the sustainability pressures generated by the sector should not be underestimated. The key limiting factor at this stage is the absence of comprehensive nationally </w:t>
      </w:r>
      <w:r w:rsidRPr="00F51F1B">
        <w:t>transparent, available and standardised</w:t>
      </w:r>
      <w:r w:rsidRPr="009F1E0E">
        <w:t xml:space="preserve"> data which can be used to determine, and drive, the performance of the sector.  This gap inhibits evidence based policy development and limits the extent to which clinical practice can be influenced.  </w:t>
      </w:r>
    </w:p>
    <w:p w:rsidR="002E207A" w:rsidRDefault="002E207A" w:rsidP="00A04E07">
      <w:r w:rsidRPr="00CF5B19">
        <w:t xml:space="preserve">A significant amount of data and information exists within the Blood Sector, however, the extent to which this data is currently available to the parties that need it, the quality of the data, and the capacity of the systems that hold it, varies widely.  </w:t>
      </w:r>
      <w:r>
        <w:t xml:space="preserve"> As is illustrated in </w:t>
      </w:r>
      <w:r w:rsidRPr="00A775DD">
        <w:rPr>
          <w:i/>
        </w:rPr>
        <w:t>Table 1</w:t>
      </w:r>
      <w:r>
        <w:t xml:space="preserve"> on the following page</w:t>
      </w:r>
      <w:r w:rsidRPr="00CF5B19">
        <w:t>, the majority of data/information is held either in supplier’s systems or hospital systems</w:t>
      </w:r>
      <w:r>
        <w:t>.</w:t>
      </w:r>
    </w:p>
    <w:p w:rsidR="002E207A" w:rsidRDefault="002E207A" w:rsidP="00A04E07">
      <w:pPr>
        <w:spacing w:after="0"/>
      </w:pPr>
      <w:r>
        <w:br w:type="page"/>
      </w:r>
    </w:p>
    <w:p w:rsidR="002E207A" w:rsidRDefault="002E207A" w:rsidP="00A04E07"/>
    <w:p w:rsidR="002E207A" w:rsidRDefault="002E207A" w:rsidP="00A04E07">
      <w:pPr>
        <w:pStyle w:val="Caption"/>
        <w:keepNext/>
      </w:pPr>
      <w:r>
        <w:t xml:space="preserve">Table </w:t>
      </w:r>
      <w:r w:rsidR="00A74103">
        <w:fldChar w:fldCharType="begin"/>
      </w:r>
      <w:r w:rsidR="00A74103">
        <w:instrText xml:space="preserve"> SEQ Table \* ARABIC </w:instrText>
      </w:r>
      <w:r w:rsidR="00A74103">
        <w:fldChar w:fldCharType="separate"/>
      </w:r>
      <w:r w:rsidR="00C82CE1">
        <w:rPr>
          <w:noProof/>
        </w:rPr>
        <w:t>1</w:t>
      </w:r>
      <w:r w:rsidR="00A74103">
        <w:rPr>
          <w:noProof/>
        </w:rPr>
        <w:fldChar w:fldCharType="end"/>
      </w:r>
      <w:r>
        <w:t>. Current storage of blood sector data</w:t>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57" w:type="dxa"/>
          <w:bottom w:w="57" w:type="dxa"/>
        </w:tblCellMar>
        <w:tblLook w:val="00A0" w:firstRow="1" w:lastRow="0" w:firstColumn="1" w:lastColumn="0" w:noHBand="0" w:noVBand="0"/>
      </w:tblPr>
      <w:tblGrid>
        <w:gridCol w:w="2944"/>
        <w:gridCol w:w="2692"/>
        <w:gridCol w:w="1985"/>
        <w:gridCol w:w="1813"/>
      </w:tblGrid>
      <w:tr w:rsidR="002E207A" w:rsidRPr="00261F13" w:rsidTr="007649D7">
        <w:trPr>
          <w:tblHeader/>
        </w:trPr>
        <w:tc>
          <w:tcPr>
            <w:tcW w:w="1560" w:type="pct"/>
            <w:shd w:val="clear" w:color="auto" w:fill="C00000"/>
            <w:vAlign w:val="center"/>
          </w:tcPr>
          <w:p w:rsidR="002E207A" w:rsidRPr="00391D4F" w:rsidRDefault="002E207A" w:rsidP="00391D4F">
            <w:pPr>
              <w:contextualSpacing/>
              <w:jc w:val="center"/>
              <w:rPr>
                <w:b/>
                <w:color w:val="FFFFFF"/>
                <w:sz w:val="20"/>
                <w:szCs w:val="20"/>
              </w:rPr>
            </w:pPr>
            <w:r w:rsidRPr="00391D4F">
              <w:rPr>
                <w:b/>
                <w:color w:val="FFFFFF"/>
                <w:sz w:val="20"/>
                <w:szCs w:val="20"/>
              </w:rPr>
              <w:t>Blood product supply chain activities</w:t>
            </w:r>
          </w:p>
        </w:tc>
        <w:tc>
          <w:tcPr>
            <w:tcW w:w="1427" w:type="pct"/>
            <w:shd w:val="clear" w:color="auto" w:fill="C00000"/>
            <w:vAlign w:val="center"/>
          </w:tcPr>
          <w:p w:rsidR="002E207A" w:rsidRPr="00391D4F" w:rsidRDefault="002E207A" w:rsidP="00391D4F">
            <w:pPr>
              <w:contextualSpacing/>
              <w:jc w:val="center"/>
              <w:rPr>
                <w:b/>
                <w:color w:val="FFFFFF"/>
                <w:sz w:val="20"/>
                <w:szCs w:val="20"/>
              </w:rPr>
            </w:pPr>
            <w:r w:rsidRPr="00391D4F">
              <w:rPr>
                <w:b/>
                <w:color w:val="FFFFFF"/>
                <w:sz w:val="20"/>
                <w:szCs w:val="20"/>
              </w:rPr>
              <w:t>Where data is located</w:t>
            </w:r>
          </w:p>
        </w:tc>
        <w:tc>
          <w:tcPr>
            <w:tcW w:w="1052" w:type="pct"/>
            <w:shd w:val="clear" w:color="auto" w:fill="C00000"/>
            <w:vAlign w:val="center"/>
          </w:tcPr>
          <w:p w:rsidR="002E207A" w:rsidRPr="00391D4F" w:rsidRDefault="002E207A" w:rsidP="00391D4F">
            <w:pPr>
              <w:contextualSpacing/>
              <w:jc w:val="center"/>
              <w:rPr>
                <w:b/>
                <w:color w:val="FFFFFF"/>
                <w:sz w:val="20"/>
                <w:szCs w:val="20"/>
              </w:rPr>
            </w:pPr>
            <w:r w:rsidRPr="00391D4F">
              <w:rPr>
                <w:b/>
                <w:color w:val="FFFFFF"/>
                <w:sz w:val="20"/>
                <w:szCs w:val="20"/>
              </w:rPr>
              <w:t>National system (used for fresh and plasma derived products)</w:t>
            </w:r>
          </w:p>
        </w:tc>
        <w:tc>
          <w:tcPr>
            <w:tcW w:w="961" w:type="pct"/>
            <w:shd w:val="clear" w:color="auto" w:fill="C00000"/>
            <w:vAlign w:val="center"/>
          </w:tcPr>
          <w:p w:rsidR="002E207A" w:rsidRPr="00391D4F" w:rsidRDefault="002E207A" w:rsidP="00391D4F">
            <w:pPr>
              <w:contextualSpacing/>
              <w:jc w:val="center"/>
              <w:rPr>
                <w:b/>
                <w:color w:val="FFFFFF"/>
                <w:sz w:val="20"/>
                <w:szCs w:val="20"/>
              </w:rPr>
            </w:pPr>
            <w:r w:rsidRPr="00391D4F">
              <w:rPr>
                <w:b/>
                <w:color w:val="FFFFFF"/>
                <w:sz w:val="20"/>
                <w:szCs w:val="20"/>
              </w:rPr>
              <w:t>National system (used for clotting factor products)</w:t>
            </w:r>
          </w:p>
        </w:tc>
      </w:tr>
      <w:tr w:rsidR="002E207A" w:rsidRPr="00261F13" w:rsidTr="004C64E2">
        <w:tc>
          <w:tcPr>
            <w:tcW w:w="1560" w:type="pct"/>
            <w:shd w:val="clear" w:color="auto" w:fill="F2F2F2"/>
            <w:vAlign w:val="center"/>
          </w:tcPr>
          <w:p w:rsidR="002E207A" w:rsidRPr="00391D4F" w:rsidRDefault="002E207A" w:rsidP="00017DEA">
            <w:pPr>
              <w:contextualSpacing/>
              <w:rPr>
                <w:color w:val="000000"/>
                <w:sz w:val="20"/>
                <w:szCs w:val="20"/>
              </w:rPr>
            </w:pPr>
            <w:r w:rsidRPr="00391D4F">
              <w:rPr>
                <w:color w:val="000000"/>
                <w:sz w:val="20"/>
                <w:szCs w:val="20"/>
              </w:rPr>
              <w:t>Supply inventory levels and manufacturing information</w:t>
            </w:r>
          </w:p>
        </w:tc>
        <w:tc>
          <w:tcPr>
            <w:tcW w:w="1427" w:type="pct"/>
            <w:shd w:val="clear" w:color="auto" w:fill="F2F2F2"/>
            <w:vAlign w:val="center"/>
          </w:tcPr>
          <w:p w:rsidR="002E207A" w:rsidRPr="00391D4F" w:rsidRDefault="002E207A" w:rsidP="00126907">
            <w:pPr>
              <w:contextualSpacing/>
              <w:rPr>
                <w:color w:val="000000"/>
                <w:sz w:val="20"/>
                <w:szCs w:val="20"/>
              </w:rPr>
            </w:pPr>
            <w:r w:rsidRPr="00391D4F">
              <w:rPr>
                <w:color w:val="000000"/>
                <w:sz w:val="20"/>
                <w:szCs w:val="20"/>
              </w:rPr>
              <w:t>Supplier systems</w:t>
            </w:r>
          </w:p>
        </w:tc>
        <w:tc>
          <w:tcPr>
            <w:tcW w:w="1052" w:type="pct"/>
            <w:shd w:val="clear" w:color="auto" w:fill="F2F2F2"/>
            <w:vAlign w:val="center"/>
          </w:tcPr>
          <w:p w:rsidR="002E207A" w:rsidRPr="00391D4F" w:rsidRDefault="002E207A" w:rsidP="00017DEA">
            <w:pPr>
              <w:contextualSpacing/>
              <w:rPr>
                <w:color w:val="000000"/>
                <w:sz w:val="20"/>
                <w:szCs w:val="20"/>
              </w:rPr>
            </w:pPr>
          </w:p>
        </w:tc>
        <w:tc>
          <w:tcPr>
            <w:tcW w:w="961" w:type="pct"/>
            <w:shd w:val="clear" w:color="auto" w:fill="F2F2F2"/>
            <w:vAlign w:val="center"/>
          </w:tcPr>
          <w:p w:rsidR="002E207A" w:rsidRPr="00391D4F" w:rsidRDefault="002E207A" w:rsidP="00017DEA">
            <w:pPr>
              <w:contextualSpacing/>
              <w:rPr>
                <w:color w:val="000000"/>
                <w:sz w:val="20"/>
                <w:szCs w:val="20"/>
              </w:rPr>
            </w:pPr>
          </w:p>
        </w:tc>
      </w:tr>
      <w:tr w:rsidR="002E207A" w:rsidRPr="00261F13" w:rsidTr="004C64E2">
        <w:tc>
          <w:tcPr>
            <w:tcW w:w="1560" w:type="pct"/>
            <w:shd w:val="clear" w:color="auto" w:fill="F2F2F2"/>
            <w:vAlign w:val="center"/>
          </w:tcPr>
          <w:p w:rsidR="002E207A" w:rsidRPr="00391D4F" w:rsidRDefault="002E207A" w:rsidP="00017DEA">
            <w:pPr>
              <w:contextualSpacing/>
              <w:rPr>
                <w:color w:val="000000"/>
                <w:sz w:val="20"/>
                <w:szCs w:val="20"/>
              </w:rPr>
            </w:pPr>
            <w:r w:rsidRPr="00391D4F">
              <w:rPr>
                <w:color w:val="000000"/>
                <w:sz w:val="20"/>
                <w:szCs w:val="20"/>
              </w:rPr>
              <w:t>Authorisation details</w:t>
            </w:r>
          </w:p>
        </w:tc>
        <w:tc>
          <w:tcPr>
            <w:tcW w:w="1427" w:type="pct"/>
            <w:shd w:val="clear" w:color="auto" w:fill="F2F2F2"/>
            <w:vAlign w:val="center"/>
          </w:tcPr>
          <w:p w:rsidR="002E207A" w:rsidRPr="00391D4F" w:rsidRDefault="002E207A" w:rsidP="00126907">
            <w:pPr>
              <w:contextualSpacing/>
              <w:rPr>
                <w:color w:val="000000"/>
                <w:sz w:val="20"/>
                <w:szCs w:val="20"/>
              </w:rPr>
            </w:pPr>
            <w:r w:rsidRPr="00391D4F">
              <w:rPr>
                <w:color w:val="000000"/>
                <w:sz w:val="20"/>
                <w:szCs w:val="20"/>
              </w:rPr>
              <w:t>Supplier systems</w:t>
            </w:r>
          </w:p>
        </w:tc>
        <w:tc>
          <w:tcPr>
            <w:tcW w:w="1052" w:type="pct"/>
            <w:shd w:val="clear" w:color="auto" w:fill="F2F2F2"/>
            <w:vAlign w:val="center"/>
          </w:tcPr>
          <w:p w:rsidR="002E207A" w:rsidRPr="00391D4F" w:rsidRDefault="002E207A" w:rsidP="00017DEA">
            <w:pPr>
              <w:contextualSpacing/>
              <w:rPr>
                <w:color w:val="000000"/>
                <w:sz w:val="20"/>
                <w:szCs w:val="20"/>
              </w:rPr>
            </w:pPr>
          </w:p>
        </w:tc>
        <w:tc>
          <w:tcPr>
            <w:tcW w:w="961" w:type="pct"/>
            <w:shd w:val="clear" w:color="auto" w:fill="F2F2F2"/>
            <w:vAlign w:val="center"/>
          </w:tcPr>
          <w:p w:rsidR="002E207A" w:rsidRPr="00391D4F" w:rsidRDefault="002E207A" w:rsidP="00017DEA">
            <w:pPr>
              <w:contextualSpacing/>
              <w:rPr>
                <w:color w:val="000000"/>
                <w:sz w:val="20"/>
                <w:szCs w:val="20"/>
              </w:rPr>
            </w:pPr>
            <w:r w:rsidRPr="00391D4F">
              <w:rPr>
                <w:color w:val="000000"/>
                <w:sz w:val="20"/>
                <w:szCs w:val="20"/>
              </w:rPr>
              <w:t>ABDR</w:t>
            </w:r>
          </w:p>
        </w:tc>
      </w:tr>
      <w:tr w:rsidR="002E207A" w:rsidRPr="00261F13" w:rsidTr="004C64E2">
        <w:tc>
          <w:tcPr>
            <w:tcW w:w="1560" w:type="pct"/>
            <w:shd w:val="clear" w:color="auto" w:fill="F2F2F2"/>
            <w:vAlign w:val="center"/>
          </w:tcPr>
          <w:p w:rsidR="002E207A" w:rsidRPr="00391D4F" w:rsidRDefault="002E207A" w:rsidP="00DC14A5">
            <w:pPr>
              <w:contextualSpacing/>
              <w:rPr>
                <w:color w:val="000000"/>
                <w:sz w:val="20"/>
                <w:szCs w:val="20"/>
              </w:rPr>
            </w:pPr>
            <w:r w:rsidRPr="00391D4F">
              <w:rPr>
                <w:color w:val="000000"/>
                <w:sz w:val="20"/>
                <w:szCs w:val="20"/>
              </w:rPr>
              <w:t xml:space="preserve">Order by </w:t>
            </w:r>
            <w:r w:rsidR="00DC14A5">
              <w:rPr>
                <w:color w:val="000000"/>
                <w:sz w:val="20"/>
                <w:szCs w:val="20"/>
              </w:rPr>
              <w:t>health provider</w:t>
            </w:r>
          </w:p>
        </w:tc>
        <w:tc>
          <w:tcPr>
            <w:tcW w:w="1427" w:type="pct"/>
            <w:shd w:val="clear" w:color="auto" w:fill="F2F2F2"/>
            <w:vAlign w:val="center"/>
          </w:tcPr>
          <w:p w:rsidR="002E207A" w:rsidRPr="00391D4F" w:rsidRDefault="002E207A" w:rsidP="00017DEA">
            <w:pPr>
              <w:contextualSpacing/>
              <w:rPr>
                <w:color w:val="000000"/>
                <w:sz w:val="20"/>
                <w:szCs w:val="20"/>
              </w:rPr>
            </w:pPr>
            <w:r w:rsidRPr="00391D4F">
              <w:rPr>
                <w:color w:val="000000"/>
                <w:sz w:val="20"/>
                <w:szCs w:val="20"/>
              </w:rPr>
              <w:t>Hospital or laboratory systems</w:t>
            </w:r>
          </w:p>
        </w:tc>
        <w:tc>
          <w:tcPr>
            <w:tcW w:w="1052" w:type="pct"/>
            <w:shd w:val="clear" w:color="auto" w:fill="F2F2F2"/>
            <w:vAlign w:val="center"/>
          </w:tcPr>
          <w:p w:rsidR="002E207A" w:rsidRPr="00391D4F" w:rsidRDefault="002E207A" w:rsidP="00017DEA">
            <w:pPr>
              <w:contextualSpacing/>
              <w:rPr>
                <w:color w:val="000000"/>
                <w:sz w:val="20"/>
                <w:szCs w:val="20"/>
              </w:rPr>
            </w:pPr>
            <w:r w:rsidRPr="00391D4F">
              <w:rPr>
                <w:color w:val="000000"/>
                <w:sz w:val="20"/>
                <w:szCs w:val="20"/>
              </w:rPr>
              <w:t>BloodNet</w:t>
            </w:r>
          </w:p>
        </w:tc>
        <w:tc>
          <w:tcPr>
            <w:tcW w:w="961" w:type="pct"/>
            <w:shd w:val="clear" w:color="auto" w:fill="F2F2F2"/>
            <w:vAlign w:val="center"/>
          </w:tcPr>
          <w:p w:rsidR="002E207A" w:rsidRPr="00391D4F" w:rsidRDefault="002E207A" w:rsidP="00017DEA">
            <w:pPr>
              <w:contextualSpacing/>
              <w:rPr>
                <w:color w:val="000000"/>
                <w:sz w:val="20"/>
                <w:szCs w:val="20"/>
              </w:rPr>
            </w:pPr>
            <w:r w:rsidRPr="00391D4F">
              <w:rPr>
                <w:color w:val="000000"/>
                <w:sz w:val="20"/>
                <w:szCs w:val="20"/>
              </w:rPr>
              <w:t>ABDR</w:t>
            </w:r>
          </w:p>
        </w:tc>
      </w:tr>
      <w:tr w:rsidR="002E207A" w:rsidRPr="00261F13" w:rsidTr="004C64E2">
        <w:tc>
          <w:tcPr>
            <w:tcW w:w="1560" w:type="pct"/>
            <w:shd w:val="clear" w:color="auto" w:fill="F2F2F2"/>
            <w:vAlign w:val="center"/>
          </w:tcPr>
          <w:p w:rsidR="002E207A" w:rsidRPr="00391D4F" w:rsidRDefault="002E207A" w:rsidP="00DC14A5">
            <w:pPr>
              <w:contextualSpacing/>
              <w:rPr>
                <w:color w:val="000000"/>
                <w:sz w:val="20"/>
                <w:szCs w:val="20"/>
              </w:rPr>
            </w:pPr>
            <w:r w:rsidRPr="00391D4F">
              <w:rPr>
                <w:color w:val="000000"/>
                <w:sz w:val="20"/>
                <w:szCs w:val="20"/>
              </w:rPr>
              <w:t xml:space="preserve">Issued to </w:t>
            </w:r>
            <w:r w:rsidR="00DC14A5">
              <w:rPr>
                <w:color w:val="000000"/>
                <w:sz w:val="20"/>
                <w:szCs w:val="20"/>
              </w:rPr>
              <w:t>health provider</w:t>
            </w:r>
          </w:p>
        </w:tc>
        <w:tc>
          <w:tcPr>
            <w:tcW w:w="1427" w:type="pct"/>
            <w:shd w:val="clear" w:color="auto" w:fill="F2F2F2"/>
            <w:vAlign w:val="center"/>
          </w:tcPr>
          <w:p w:rsidR="002E207A" w:rsidRPr="00391D4F" w:rsidRDefault="002E207A" w:rsidP="00126907">
            <w:pPr>
              <w:contextualSpacing/>
              <w:rPr>
                <w:color w:val="000000"/>
                <w:sz w:val="20"/>
                <w:szCs w:val="20"/>
              </w:rPr>
            </w:pPr>
            <w:r w:rsidRPr="00391D4F">
              <w:rPr>
                <w:color w:val="000000"/>
                <w:sz w:val="20"/>
                <w:szCs w:val="20"/>
              </w:rPr>
              <w:t>Supplier systems</w:t>
            </w:r>
          </w:p>
        </w:tc>
        <w:tc>
          <w:tcPr>
            <w:tcW w:w="1052" w:type="pct"/>
            <w:shd w:val="clear" w:color="auto" w:fill="F2F2F2"/>
            <w:vAlign w:val="center"/>
          </w:tcPr>
          <w:p w:rsidR="002E207A" w:rsidRPr="00391D4F" w:rsidRDefault="002E207A" w:rsidP="00017DEA">
            <w:pPr>
              <w:contextualSpacing/>
              <w:rPr>
                <w:color w:val="000000"/>
                <w:sz w:val="20"/>
                <w:szCs w:val="20"/>
              </w:rPr>
            </w:pPr>
            <w:r w:rsidRPr="00391D4F">
              <w:rPr>
                <w:color w:val="000000"/>
                <w:sz w:val="20"/>
                <w:szCs w:val="20"/>
              </w:rPr>
              <w:t>BloodNet</w:t>
            </w:r>
          </w:p>
        </w:tc>
        <w:tc>
          <w:tcPr>
            <w:tcW w:w="961" w:type="pct"/>
            <w:shd w:val="clear" w:color="auto" w:fill="F2F2F2"/>
            <w:vAlign w:val="center"/>
          </w:tcPr>
          <w:p w:rsidR="002E207A" w:rsidRPr="00391D4F" w:rsidRDefault="002E207A" w:rsidP="00017DEA">
            <w:pPr>
              <w:contextualSpacing/>
              <w:rPr>
                <w:color w:val="000000"/>
                <w:sz w:val="20"/>
                <w:szCs w:val="20"/>
              </w:rPr>
            </w:pPr>
          </w:p>
        </w:tc>
      </w:tr>
      <w:tr w:rsidR="002E207A" w:rsidRPr="00261F13" w:rsidTr="004C64E2">
        <w:tc>
          <w:tcPr>
            <w:tcW w:w="1560" w:type="pct"/>
            <w:shd w:val="clear" w:color="auto" w:fill="F2F2F2"/>
            <w:vAlign w:val="center"/>
          </w:tcPr>
          <w:p w:rsidR="002E207A" w:rsidRPr="00391D4F" w:rsidRDefault="002E207A" w:rsidP="00DC14A5">
            <w:pPr>
              <w:contextualSpacing/>
              <w:rPr>
                <w:color w:val="000000"/>
                <w:sz w:val="20"/>
                <w:szCs w:val="20"/>
              </w:rPr>
            </w:pPr>
            <w:r w:rsidRPr="00391D4F">
              <w:rPr>
                <w:color w:val="000000"/>
                <w:sz w:val="20"/>
                <w:szCs w:val="20"/>
              </w:rPr>
              <w:t xml:space="preserve">Receipted by </w:t>
            </w:r>
            <w:r w:rsidR="00DC14A5">
              <w:rPr>
                <w:color w:val="000000"/>
                <w:sz w:val="20"/>
                <w:szCs w:val="20"/>
              </w:rPr>
              <w:t>health provider</w:t>
            </w:r>
          </w:p>
        </w:tc>
        <w:tc>
          <w:tcPr>
            <w:tcW w:w="1427" w:type="pct"/>
            <w:shd w:val="clear" w:color="auto" w:fill="F2F2F2"/>
            <w:vAlign w:val="center"/>
          </w:tcPr>
          <w:p w:rsidR="002E207A" w:rsidRPr="00391D4F" w:rsidRDefault="002E207A" w:rsidP="00017DEA">
            <w:pPr>
              <w:contextualSpacing/>
              <w:rPr>
                <w:color w:val="000000"/>
                <w:sz w:val="20"/>
                <w:szCs w:val="20"/>
              </w:rPr>
            </w:pPr>
            <w:r w:rsidRPr="00391D4F">
              <w:rPr>
                <w:color w:val="000000"/>
                <w:sz w:val="20"/>
                <w:szCs w:val="20"/>
              </w:rPr>
              <w:t>Hospital or laboratory systems</w:t>
            </w:r>
          </w:p>
        </w:tc>
        <w:tc>
          <w:tcPr>
            <w:tcW w:w="1052" w:type="pct"/>
            <w:shd w:val="clear" w:color="auto" w:fill="F2F2F2"/>
            <w:vAlign w:val="center"/>
          </w:tcPr>
          <w:p w:rsidR="002E207A" w:rsidRPr="00391D4F" w:rsidRDefault="002E207A" w:rsidP="00017DEA">
            <w:pPr>
              <w:contextualSpacing/>
              <w:rPr>
                <w:color w:val="000000"/>
                <w:sz w:val="20"/>
                <w:szCs w:val="20"/>
              </w:rPr>
            </w:pPr>
            <w:r w:rsidRPr="00391D4F">
              <w:rPr>
                <w:color w:val="000000"/>
                <w:sz w:val="20"/>
                <w:szCs w:val="20"/>
              </w:rPr>
              <w:t>BloodNet</w:t>
            </w:r>
          </w:p>
        </w:tc>
        <w:tc>
          <w:tcPr>
            <w:tcW w:w="961" w:type="pct"/>
            <w:shd w:val="clear" w:color="auto" w:fill="F2F2F2"/>
            <w:vAlign w:val="center"/>
          </w:tcPr>
          <w:p w:rsidR="002E207A" w:rsidRPr="00391D4F" w:rsidRDefault="002E207A" w:rsidP="00017DEA">
            <w:pPr>
              <w:contextualSpacing/>
              <w:rPr>
                <w:color w:val="000000"/>
                <w:sz w:val="20"/>
                <w:szCs w:val="20"/>
              </w:rPr>
            </w:pPr>
          </w:p>
        </w:tc>
      </w:tr>
      <w:tr w:rsidR="002E207A" w:rsidRPr="00261F13" w:rsidTr="004C64E2">
        <w:tc>
          <w:tcPr>
            <w:tcW w:w="1560" w:type="pct"/>
            <w:shd w:val="clear" w:color="auto" w:fill="F2F2F2"/>
            <w:vAlign w:val="center"/>
          </w:tcPr>
          <w:p w:rsidR="002E207A" w:rsidRPr="00391D4F" w:rsidRDefault="002E207A" w:rsidP="00017DEA">
            <w:pPr>
              <w:contextualSpacing/>
              <w:rPr>
                <w:color w:val="000000"/>
                <w:sz w:val="20"/>
                <w:szCs w:val="20"/>
              </w:rPr>
            </w:pPr>
            <w:r w:rsidRPr="00391D4F">
              <w:rPr>
                <w:color w:val="000000"/>
                <w:sz w:val="20"/>
                <w:szCs w:val="20"/>
              </w:rPr>
              <w:t>Wastage (fate of product)</w:t>
            </w:r>
          </w:p>
        </w:tc>
        <w:tc>
          <w:tcPr>
            <w:tcW w:w="1427" w:type="pct"/>
            <w:shd w:val="clear" w:color="auto" w:fill="F2F2F2"/>
            <w:vAlign w:val="center"/>
          </w:tcPr>
          <w:p w:rsidR="002E207A" w:rsidRPr="00391D4F" w:rsidRDefault="002E207A" w:rsidP="00017DEA">
            <w:pPr>
              <w:contextualSpacing/>
              <w:rPr>
                <w:color w:val="000000"/>
                <w:sz w:val="20"/>
                <w:szCs w:val="20"/>
              </w:rPr>
            </w:pPr>
            <w:r w:rsidRPr="00391D4F">
              <w:rPr>
                <w:color w:val="000000"/>
                <w:sz w:val="20"/>
                <w:szCs w:val="20"/>
              </w:rPr>
              <w:t>Hospital or laboratory systems and/or ERIC system</w:t>
            </w:r>
          </w:p>
        </w:tc>
        <w:tc>
          <w:tcPr>
            <w:tcW w:w="1052" w:type="pct"/>
            <w:shd w:val="clear" w:color="auto" w:fill="F2F2F2"/>
            <w:vAlign w:val="center"/>
          </w:tcPr>
          <w:p w:rsidR="002E207A" w:rsidRPr="00391D4F" w:rsidRDefault="002E207A" w:rsidP="00017DEA">
            <w:pPr>
              <w:contextualSpacing/>
              <w:rPr>
                <w:color w:val="000000"/>
                <w:sz w:val="20"/>
                <w:szCs w:val="20"/>
              </w:rPr>
            </w:pPr>
            <w:r w:rsidRPr="00391D4F">
              <w:rPr>
                <w:color w:val="000000"/>
                <w:sz w:val="20"/>
                <w:szCs w:val="20"/>
              </w:rPr>
              <w:t>BloodNet</w:t>
            </w:r>
          </w:p>
        </w:tc>
        <w:tc>
          <w:tcPr>
            <w:tcW w:w="961" w:type="pct"/>
            <w:shd w:val="clear" w:color="auto" w:fill="F2F2F2"/>
            <w:vAlign w:val="center"/>
          </w:tcPr>
          <w:p w:rsidR="002E207A" w:rsidRPr="00391D4F" w:rsidRDefault="002E207A" w:rsidP="00017DEA">
            <w:pPr>
              <w:contextualSpacing/>
              <w:rPr>
                <w:color w:val="000000"/>
                <w:sz w:val="20"/>
                <w:szCs w:val="20"/>
              </w:rPr>
            </w:pPr>
          </w:p>
        </w:tc>
      </w:tr>
      <w:tr w:rsidR="002E207A" w:rsidRPr="00261F13" w:rsidTr="004C64E2">
        <w:tc>
          <w:tcPr>
            <w:tcW w:w="1560" w:type="pct"/>
            <w:shd w:val="clear" w:color="auto" w:fill="F2F2F2"/>
            <w:vAlign w:val="center"/>
          </w:tcPr>
          <w:p w:rsidR="002E207A" w:rsidRPr="00391D4F" w:rsidRDefault="002E207A" w:rsidP="00017DEA">
            <w:pPr>
              <w:contextualSpacing/>
              <w:rPr>
                <w:color w:val="000000"/>
                <w:sz w:val="20"/>
                <w:szCs w:val="20"/>
              </w:rPr>
            </w:pPr>
            <w:r w:rsidRPr="00391D4F">
              <w:rPr>
                <w:color w:val="000000"/>
                <w:sz w:val="20"/>
                <w:szCs w:val="20"/>
              </w:rPr>
              <w:t>Issued to patient</w:t>
            </w:r>
          </w:p>
        </w:tc>
        <w:tc>
          <w:tcPr>
            <w:tcW w:w="1427" w:type="pct"/>
            <w:shd w:val="clear" w:color="auto" w:fill="F2F2F2"/>
            <w:vAlign w:val="center"/>
          </w:tcPr>
          <w:p w:rsidR="002E207A" w:rsidRPr="00391D4F" w:rsidRDefault="002E207A" w:rsidP="00017DEA">
            <w:pPr>
              <w:contextualSpacing/>
              <w:rPr>
                <w:color w:val="000000"/>
                <w:sz w:val="20"/>
                <w:szCs w:val="20"/>
              </w:rPr>
            </w:pPr>
            <w:r w:rsidRPr="00391D4F">
              <w:rPr>
                <w:color w:val="000000"/>
                <w:sz w:val="20"/>
                <w:szCs w:val="20"/>
              </w:rPr>
              <w:t>Hospital systems (patient records and notes)</w:t>
            </w:r>
          </w:p>
        </w:tc>
        <w:tc>
          <w:tcPr>
            <w:tcW w:w="1052" w:type="pct"/>
            <w:shd w:val="clear" w:color="auto" w:fill="F2F2F2"/>
            <w:vAlign w:val="center"/>
          </w:tcPr>
          <w:p w:rsidR="002E207A" w:rsidRPr="00391D4F" w:rsidRDefault="002E207A" w:rsidP="00017DEA">
            <w:pPr>
              <w:contextualSpacing/>
              <w:rPr>
                <w:color w:val="000000"/>
                <w:sz w:val="20"/>
                <w:szCs w:val="20"/>
              </w:rPr>
            </w:pPr>
          </w:p>
        </w:tc>
        <w:tc>
          <w:tcPr>
            <w:tcW w:w="961" w:type="pct"/>
            <w:shd w:val="clear" w:color="auto" w:fill="F2F2F2"/>
            <w:vAlign w:val="center"/>
          </w:tcPr>
          <w:p w:rsidR="002E207A" w:rsidRPr="00391D4F" w:rsidRDefault="002E207A" w:rsidP="00017DEA">
            <w:pPr>
              <w:contextualSpacing/>
              <w:rPr>
                <w:color w:val="000000"/>
                <w:sz w:val="20"/>
                <w:szCs w:val="20"/>
              </w:rPr>
            </w:pPr>
            <w:r w:rsidRPr="00391D4F">
              <w:rPr>
                <w:color w:val="000000"/>
                <w:sz w:val="20"/>
                <w:szCs w:val="20"/>
              </w:rPr>
              <w:t>ABDR</w:t>
            </w:r>
          </w:p>
        </w:tc>
      </w:tr>
      <w:tr w:rsidR="002E207A" w:rsidRPr="00261F13" w:rsidTr="004C64E2">
        <w:tc>
          <w:tcPr>
            <w:tcW w:w="1560" w:type="pct"/>
            <w:shd w:val="clear" w:color="auto" w:fill="F2F2F2"/>
            <w:vAlign w:val="center"/>
          </w:tcPr>
          <w:p w:rsidR="002E207A" w:rsidRPr="00391D4F" w:rsidRDefault="002E207A" w:rsidP="00017DEA">
            <w:pPr>
              <w:contextualSpacing/>
              <w:rPr>
                <w:color w:val="000000"/>
                <w:sz w:val="20"/>
                <w:szCs w:val="20"/>
              </w:rPr>
            </w:pPr>
            <w:r w:rsidRPr="00391D4F">
              <w:rPr>
                <w:color w:val="000000"/>
                <w:sz w:val="20"/>
                <w:szCs w:val="20"/>
              </w:rPr>
              <w:t>Reason for use</w:t>
            </w:r>
          </w:p>
        </w:tc>
        <w:tc>
          <w:tcPr>
            <w:tcW w:w="1427" w:type="pct"/>
            <w:shd w:val="clear" w:color="auto" w:fill="F2F2F2"/>
            <w:vAlign w:val="center"/>
          </w:tcPr>
          <w:p w:rsidR="002E207A" w:rsidRDefault="002E207A" w:rsidP="00017DEA">
            <w:pPr>
              <w:contextualSpacing/>
              <w:rPr>
                <w:color w:val="000000"/>
                <w:sz w:val="20"/>
                <w:szCs w:val="20"/>
              </w:rPr>
            </w:pPr>
            <w:r w:rsidRPr="00391D4F">
              <w:rPr>
                <w:color w:val="000000"/>
                <w:sz w:val="20"/>
                <w:szCs w:val="20"/>
              </w:rPr>
              <w:t>Hospital systems (patient records and notes)</w:t>
            </w:r>
          </w:p>
          <w:p w:rsidR="004C64E2" w:rsidRPr="00391D4F" w:rsidRDefault="004C64E2" w:rsidP="004C64E2">
            <w:pPr>
              <w:contextualSpacing/>
              <w:rPr>
                <w:color w:val="000000"/>
                <w:sz w:val="20"/>
                <w:szCs w:val="20"/>
              </w:rPr>
            </w:pPr>
            <w:r>
              <w:rPr>
                <w:color w:val="000000"/>
                <w:sz w:val="20"/>
                <w:szCs w:val="20"/>
              </w:rPr>
              <w:t>general practitioner/specialist systems</w:t>
            </w:r>
          </w:p>
        </w:tc>
        <w:tc>
          <w:tcPr>
            <w:tcW w:w="1052" w:type="pct"/>
            <w:shd w:val="clear" w:color="auto" w:fill="F2F2F2"/>
            <w:vAlign w:val="center"/>
          </w:tcPr>
          <w:p w:rsidR="002E207A" w:rsidRPr="00391D4F" w:rsidRDefault="002E207A" w:rsidP="00017DEA">
            <w:pPr>
              <w:contextualSpacing/>
              <w:rPr>
                <w:color w:val="000000"/>
                <w:sz w:val="20"/>
                <w:szCs w:val="20"/>
              </w:rPr>
            </w:pPr>
          </w:p>
        </w:tc>
        <w:tc>
          <w:tcPr>
            <w:tcW w:w="961" w:type="pct"/>
            <w:shd w:val="clear" w:color="auto" w:fill="F2F2F2"/>
            <w:vAlign w:val="center"/>
          </w:tcPr>
          <w:p w:rsidR="002E207A" w:rsidRPr="00391D4F" w:rsidRDefault="002E207A" w:rsidP="00017DEA">
            <w:pPr>
              <w:contextualSpacing/>
              <w:rPr>
                <w:color w:val="000000"/>
                <w:sz w:val="20"/>
                <w:szCs w:val="20"/>
              </w:rPr>
            </w:pPr>
            <w:r w:rsidRPr="00391D4F">
              <w:rPr>
                <w:color w:val="000000"/>
                <w:sz w:val="20"/>
                <w:szCs w:val="20"/>
              </w:rPr>
              <w:t>ABDR</w:t>
            </w:r>
          </w:p>
        </w:tc>
      </w:tr>
      <w:tr w:rsidR="002E207A" w:rsidRPr="00261F13" w:rsidTr="004C64E2">
        <w:tc>
          <w:tcPr>
            <w:tcW w:w="1560" w:type="pct"/>
            <w:shd w:val="clear" w:color="auto" w:fill="F2F2F2"/>
            <w:vAlign w:val="center"/>
          </w:tcPr>
          <w:p w:rsidR="002E207A" w:rsidRPr="00391D4F" w:rsidRDefault="002E207A" w:rsidP="00017DEA">
            <w:pPr>
              <w:contextualSpacing/>
              <w:rPr>
                <w:color w:val="000000"/>
                <w:sz w:val="20"/>
                <w:szCs w:val="20"/>
              </w:rPr>
            </w:pPr>
            <w:r w:rsidRPr="00391D4F">
              <w:rPr>
                <w:color w:val="000000"/>
                <w:sz w:val="20"/>
                <w:szCs w:val="20"/>
              </w:rPr>
              <w:t>Outcome of treatment</w:t>
            </w:r>
          </w:p>
        </w:tc>
        <w:tc>
          <w:tcPr>
            <w:tcW w:w="1427" w:type="pct"/>
            <w:shd w:val="clear" w:color="auto" w:fill="F2F2F2"/>
            <w:vAlign w:val="center"/>
          </w:tcPr>
          <w:p w:rsidR="002E207A" w:rsidRDefault="002E207A" w:rsidP="00017DEA">
            <w:pPr>
              <w:contextualSpacing/>
              <w:rPr>
                <w:color w:val="000000"/>
                <w:sz w:val="20"/>
                <w:szCs w:val="20"/>
              </w:rPr>
            </w:pPr>
            <w:r w:rsidRPr="00391D4F">
              <w:rPr>
                <w:color w:val="000000"/>
                <w:sz w:val="20"/>
                <w:szCs w:val="20"/>
              </w:rPr>
              <w:t>Hospital systems (patient records</w:t>
            </w:r>
            <w:r w:rsidR="00BA1219">
              <w:rPr>
                <w:color w:val="000000"/>
                <w:sz w:val="20"/>
                <w:szCs w:val="20"/>
              </w:rPr>
              <w:t xml:space="preserve">, </w:t>
            </w:r>
            <w:r w:rsidRPr="00391D4F">
              <w:rPr>
                <w:color w:val="000000"/>
                <w:sz w:val="20"/>
                <w:szCs w:val="20"/>
              </w:rPr>
              <w:t xml:space="preserve"> notes</w:t>
            </w:r>
            <w:r w:rsidR="004C64E2">
              <w:rPr>
                <w:color w:val="000000"/>
                <w:sz w:val="20"/>
                <w:szCs w:val="20"/>
              </w:rPr>
              <w:t xml:space="preserve"> adverse events and mortality data</w:t>
            </w:r>
            <w:r w:rsidRPr="00391D4F">
              <w:rPr>
                <w:color w:val="000000"/>
                <w:sz w:val="20"/>
                <w:szCs w:val="20"/>
              </w:rPr>
              <w:t>)</w:t>
            </w:r>
          </w:p>
          <w:p w:rsidR="004C64E2" w:rsidRPr="00391D4F" w:rsidRDefault="004C64E2" w:rsidP="00017DEA">
            <w:pPr>
              <w:contextualSpacing/>
              <w:rPr>
                <w:color w:val="000000"/>
                <w:sz w:val="20"/>
                <w:szCs w:val="20"/>
              </w:rPr>
            </w:pPr>
            <w:r>
              <w:rPr>
                <w:color w:val="000000"/>
                <w:sz w:val="20"/>
                <w:szCs w:val="20"/>
              </w:rPr>
              <w:t>general practitioner/specialist systems</w:t>
            </w:r>
          </w:p>
        </w:tc>
        <w:tc>
          <w:tcPr>
            <w:tcW w:w="1052" w:type="pct"/>
            <w:shd w:val="clear" w:color="auto" w:fill="F2F2F2"/>
            <w:vAlign w:val="center"/>
          </w:tcPr>
          <w:p w:rsidR="002E207A" w:rsidRPr="00391D4F" w:rsidRDefault="002E207A" w:rsidP="00017DEA">
            <w:pPr>
              <w:contextualSpacing/>
              <w:rPr>
                <w:color w:val="000000"/>
                <w:sz w:val="20"/>
                <w:szCs w:val="20"/>
              </w:rPr>
            </w:pPr>
          </w:p>
        </w:tc>
        <w:tc>
          <w:tcPr>
            <w:tcW w:w="961" w:type="pct"/>
            <w:shd w:val="clear" w:color="auto" w:fill="F2F2F2"/>
            <w:vAlign w:val="center"/>
          </w:tcPr>
          <w:p w:rsidR="002E207A" w:rsidRPr="00391D4F" w:rsidRDefault="002E207A" w:rsidP="00017DEA">
            <w:pPr>
              <w:contextualSpacing/>
              <w:rPr>
                <w:color w:val="000000"/>
                <w:sz w:val="20"/>
                <w:szCs w:val="20"/>
              </w:rPr>
            </w:pPr>
            <w:r w:rsidRPr="00391D4F">
              <w:rPr>
                <w:color w:val="000000"/>
                <w:sz w:val="20"/>
                <w:szCs w:val="20"/>
              </w:rPr>
              <w:t>ABDR</w:t>
            </w:r>
          </w:p>
        </w:tc>
      </w:tr>
    </w:tbl>
    <w:p w:rsidR="002E207A" w:rsidRDefault="002E207A" w:rsidP="00A04E07"/>
    <w:p w:rsidR="002E207A" w:rsidRDefault="002E207A" w:rsidP="00A04E07">
      <w:pPr>
        <w:jc w:val="both"/>
      </w:pPr>
      <w:r w:rsidRPr="00CF5B19">
        <w:t>In general, information within supplier’s systems is (relatively) easily accessible – the systems are typically electronic and core to the supplier’s business.  Information from hospital systems is much less accessible and in some cases, is not in an electronic form (</w:t>
      </w:r>
      <w:proofErr w:type="spellStart"/>
      <w:r w:rsidR="0029196B">
        <w:t>eg</w:t>
      </w:r>
      <w:proofErr w:type="spellEnd"/>
      <w:r w:rsidR="0029196B">
        <w:t xml:space="preserve"> some</w:t>
      </w:r>
      <w:r>
        <w:t xml:space="preserve"> p</w:t>
      </w:r>
      <w:r w:rsidRPr="00CF5B19">
        <w:t>atient notes)</w:t>
      </w:r>
      <w:r>
        <w:t xml:space="preserve"> and is </w:t>
      </w:r>
      <w:r w:rsidRPr="00CF5B19">
        <w:t>therefore extremely difficult to access.  In addition, there is limited standardisation of what information is captured</w:t>
      </w:r>
      <w:r>
        <w:t xml:space="preserve">, </w:t>
      </w:r>
      <w:r w:rsidRPr="00F51F1B">
        <w:t>how it is defined, stored and accessed</w:t>
      </w:r>
      <w:r>
        <w:t>,</w:t>
      </w:r>
      <w:r w:rsidRPr="00CF5B19">
        <w:t xml:space="preserve"> and limited standardisation</w:t>
      </w:r>
      <w:r>
        <w:t xml:space="preserve"> </w:t>
      </w:r>
      <w:r w:rsidRPr="00CF5B19">
        <w:t xml:space="preserve">of the hospital systems themselves.  Jurisdictional variation in technology is also wide, with some jurisdictions moving towards standard, </w:t>
      </w:r>
      <w:smartTag w:uri="urn:schemas-microsoft-com:office:smarttags" w:element="place">
        <w:smartTag w:uri="urn:schemas-microsoft-com:office:smarttags" w:element="PlaceType">
          <w:r w:rsidRPr="00CF5B19">
            <w:t>state</w:t>
          </w:r>
        </w:smartTag>
        <w:r w:rsidRPr="00CF5B19">
          <w:t xml:space="preserve"> </w:t>
        </w:r>
        <w:smartTag w:uri="urn:schemas-microsoft-com:office:smarttags" w:element="PlaceType">
          <w:r w:rsidRPr="00CF5B19">
            <w:t>wide</w:t>
          </w:r>
        </w:smartTag>
        <w:r w:rsidRPr="00CF5B19">
          <w:t xml:space="preserve"> </w:t>
        </w:r>
        <w:smartTag w:uri="urn:schemas-microsoft-com:office:smarttags" w:element="PlaceType">
          <w:r w:rsidRPr="00CF5B19">
            <w:t>hospital</w:t>
          </w:r>
        </w:smartTag>
      </w:smartTag>
      <w:r w:rsidRPr="00CF5B19">
        <w:t xml:space="preserve"> systems;</w:t>
      </w:r>
    </w:p>
    <w:p w:rsidR="002E207A" w:rsidRDefault="002E207A" w:rsidP="00A04E07">
      <w:pPr>
        <w:jc w:val="both"/>
      </w:pPr>
      <w:r>
        <w:t xml:space="preserve">In addition to the existing systems within the sector, there are a number of national systems currently in development or being rolled out to health providers at various stages (BloodNet and ABDR) which are likely to positively impact data availability.  Their use and the data that they can capture are illustrated in the Table 1.  </w:t>
      </w:r>
    </w:p>
    <w:p w:rsidR="002E207A" w:rsidRDefault="002E207A" w:rsidP="00A04E07">
      <w:pPr>
        <w:rPr>
          <w:szCs w:val="24"/>
        </w:rPr>
      </w:pPr>
    </w:p>
    <w:p w:rsidR="002E207A" w:rsidRDefault="002E207A">
      <w:pPr>
        <w:spacing w:after="0"/>
        <w:rPr>
          <w:rFonts w:ascii="Arial" w:hAnsi="Arial" w:cs="Arial"/>
          <w:caps/>
          <w:sz w:val="32"/>
          <w:szCs w:val="32"/>
        </w:rPr>
      </w:pPr>
      <w:bookmarkStart w:id="3" w:name="_Toc337200680"/>
      <w:r>
        <w:br w:type="page"/>
      </w:r>
    </w:p>
    <w:p w:rsidR="002E207A" w:rsidRDefault="002E207A" w:rsidP="00A04E07">
      <w:pPr>
        <w:pStyle w:val="Heading2"/>
      </w:pPr>
      <w:bookmarkStart w:id="4" w:name="_Toc343432034"/>
      <w:r>
        <w:lastRenderedPageBreak/>
        <w:t>Vision</w:t>
      </w:r>
      <w:bookmarkEnd w:id="3"/>
      <w:bookmarkEnd w:id="4"/>
    </w:p>
    <w:p w:rsidR="002E207A" w:rsidRPr="00C40736" w:rsidRDefault="002E207A" w:rsidP="00A04E07">
      <w:pPr>
        <w:rPr>
          <w:i/>
          <w:color w:val="C00000"/>
        </w:rPr>
      </w:pPr>
      <w:r w:rsidRPr="00C40736">
        <w:rPr>
          <w:i/>
          <w:color w:val="C00000"/>
        </w:rPr>
        <w:t xml:space="preserve">To provide a coordinated, strategic approach, informed by the National Health Reform, to guide the capture, management and sharing of data and information on the performance and outcomes of the Australian blood sector. </w:t>
      </w:r>
    </w:p>
    <w:p w:rsidR="002E207A" w:rsidRPr="009650B9" w:rsidRDefault="002E207A" w:rsidP="00A04E07">
      <w:r w:rsidRPr="009650B9">
        <w:t>The strategy needs to consider national initiatives which may have an impact on data development. A number of broader national health initiatives are underway and the NBA has established relationships with the Government bodies whose work is most likely to impact on data development.</w:t>
      </w:r>
    </w:p>
    <w:p w:rsidR="002E207A" w:rsidRDefault="002E207A" w:rsidP="00A04E07">
      <w:pPr>
        <w:pStyle w:val="Heading2"/>
      </w:pPr>
      <w:bookmarkStart w:id="5" w:name="_Toc334374986"/>
      <w:bookmarkStart w:id="6" w:name="_Toc337200681"/>
      <w:bookmarkStart w:id="7" w:name="_Toc343432035"/>
      <w:r>
        <w:t>The Purpose</w:t>
      </w:r>
      <w:bookmarkEnd w:id="5"/>
      <w:bookmarkEnd w:id="6"/>
      <w:bookmarkEnd w:id="7"/>
    </w:p>
    <w:p w:rsidR="002E207A" w:rsidRPr="00261F13" w:rsidRDefault="002E207A" w:rsidP="00A04E07">
      <w:pPr>
        <w:rPr>
          <w:i/>
          <w:color w:val="C00000"/>
        </w:rPr>
      </w:pPr>
      <w:r w:rsidRPr="00261F13">
        <w:rPr>
          <w:i/>
          <w:color w:val="C00000"/>
        </w:rPr>
        <w:t xml:space="preserve">To define the </w:t>
      </w:r>
      <w:r w:rsidRPr="00261F13">
        <w:rPr>
          <w:bCs/>
          <w:i/>
          <w:color w:val="C00000"/>
        </w:rPr>
        <w:t xml:space="preserve">direction </w:t>
      </w:r>
      <w:r w:rsidRPr="00261F13">
        <w:rPr>
          <w:i/>
          <w:color w:val="C00000"/>
        </w:rPr>
        <w:t xml:space="preserve">and </w:t>
      </w:r>
      <w:r w:rsidRPr="00261F13">
        <w:rPr>
          <w:bCs/>
          <w:i/>
          <w:color w:val="C00000"/>
        </w:rPr>
        <w:t>scope</w:t>
      </w:r>
      <w:r w:rsidRPr="00261F13">
        <w:rPr>
          <w:i/>
          <w:color w:val="C00000"/>
        </w:rPr>
        <w:t xml:space="preserve"> of data and information development for the blood sector over the next three years. </w:t>
      </w:r>
    </w:p>
    <w:p w:rsidR="002E207A" w:rsidRPr="00F93238" w:rsidRDefault="002E207A" w:rsidP="00A04E07">
      <w:r>
        <w:t>The strategy seeks to</w:t>
      </w:r>
      <w:r w:rsidRPr="00F93238">
        <w:t>:</w:t>
      </w:r>
    </w:p>
    <w:p w:rsidR="002E207A" w:rsidRPr="00F93238" w:rsidRDefault="002E207A" w:rsidP="00A04E07">
      <w:pPr>
        <w:pStyle w:val="ListParagraph"/>
        <w:numPr>
          <w:ilvl w:val="0"/>
          <w:numId w:val="12"/>
        </w:numPr>
      </w:pPr>
      <w:r w:rsidRPr="00261F13">
        <w:rPr>
          <w:bCs/>
        </w:rPr>
        <w:t xml:space="preserve">Provide </w:t>
      </w:r>
      <w:r>
        <w:rPr>
          <w:bCs/>
        </w:rPr>
        <w:t>priorities</w:t>
      </w:r>
      <w:r w:rsidRPr="00261F13">
        <w:rPr>
          <w:bCs/>
        </w:rPr>
        <w:t xml:space="preserve"> to guide investment in, and development of, systems to store, organise, extract and disseminate data</w:t>
      </w:r>
      <w:r w:rsidRPr="00F93238">
        <w:t>.</w:t>
      </w:r>
      <w:r>
        <w:t xml:space="preserve"> </w:t>
      </w:r>
      <w:r w:rsidRPr="00F93238">
        <w:t>This will prevent overlap or investment in small scale and isolated projects, maximise coordination and optimise cost effectiveness in investment</w:t>
      </w:r>
    </w:p>
    <w:p w:rsidR="002E207A" w:rsidRPr="00F93238" w:rsidRDefault="002E207A" w:rsidP="00A04E07">
      <w:pPr>
        <w:pStyle w:val="ListParagraph"/>
        <w:numPr>
          <w:ilvl w:val="0"/>
          <w:numId w:val="12"/>
        </w:numPr>
      </w:pPr>
      <w:r w:rsidRPr="00F93238">
        <w:t xml:space="preserve">Optimise use of existing </w:t>
      </w:r>
      <w:r w:rsidRPr="00261F13">
        <w:rPr>
          <w:bCs/>
        </w:rPr>
        <w:t>expertise</w:t>
      </w:r>
      <w:r>
        <w:rPr>
          <w:bCs/>
        </w:rPr>
        <w:t xml:space="preserve"> and systems</w:t>
      </w:r>
      <w:r w:rsidRPr="00261F13">
        <w:rPr>
          <w:bCs/>
        </w:rPr>
        <w:t xml:space="preserve"> –</w:t>
      </w:r>
      <w:r>
        <w:rPr>
          <w:bCs/>
        </w:rPr>
        <w:t xml:space="preserve"> </w:t>
      </w:r>
      <w:r w:rsidRPr="00F93238">
        <w:t>design and implement the changes needed for effective management and use of information in the sector</w:t>
      </w:r>
    </w:p>
    <w:p w:rsidR="002E207A" w:rsidRPr="00F93238" w:rsidRDefault="002E207A" w:rsidP="00A04E07">
      <w:pPr>
        <w:pStyle w:val="ListParagraph"/>
        <w:numPr>
          <w:ilvl w:val="0"/>
          <w:numId w:val="12"/>
        </w:numPr>
      </w:pPr>
      <w:r>
        <w:t>Engage with</w:t>
      </w:r>
      <w:r w:rsidRPr="00F93238">
        <w:t xml:space="preserve"> the n</w:t>
      </w:r>
      <w:r w:rsidRPr="00261F13">
        <w:rPr>
          <w:bCs/>
        </w:rPr>
        <w:t>on</w:t>
      </w:r>
      <w:r>
        <w:rPr>
          <w:bCs/>
        </w:rPr>
        <w:noBreakHyphen/>
      </w:r>
      <w:r w:rsidRPr="00261F13">
        <w:rPr>
          <w:bCs/>
        </w:rPr>
        <w:t xml:space="preserve">government sector, including private hospitals, </w:t>
      </w:r>
      <w:r w:rsidRPr="00F93238">
        <w:t>pharmacies and pathology labs</w:t>
      </w:r>
      <w:r>
        <w:t>,</w:t>
      </w:r>
      <w:r w:rsidRPr="00261F13">
        <w:rPr>
          <w:bCs/>
        </w:rPr>
        <w:t xml:space="preserve"> t</w:t>
      </w:r>
      <w:r w:rsidRPr="00F93238">
        <w:t xml:space="preserve">o </w:t>
      </w:r>
      <w:r>
        <w:t>a</w:t>
      </w:r>
      <w:r w:rsidRPr="00F93238">
        <w:t>lign practices and standards</w:t>
      </w:r>
      <w:r>
        <w:t>, and</w:t>
      </w:r>
      <w:r w:rsidRPr="00F93238">
        <w:t xml:space="preserve"> agree benchmarks</w:t>
      </w:r>
    </w:p>
    <w:p w:rsidR="002E207A" w:rsidRPr="00F93238" w:rsidRDefault="002E207A" w:rsidP="00A04E07">
      <w:pPr>
        <w:pStyle w:val="ListParagraph"/>
        <w:numPr>
          <w:ilvl w:val="0"/>
          <w:numId w:val="12"/>
        </w:numPr>
      </w:pPr>
      <w:r w:rsidRPr="00F93238">
        <w:t>Capture and build engagement in order to integrate opportunities to improve the efficiency and outcomes for the sector across all stakeholders; specifically to:</w:t>
      </w:r>
    </w:p>
    <w:p w:rsidR="002E207A" w:rsidRPr="00F93238" w:rsidRDefault="002E207A" w:rsidP="00A04E07">
      <w:pPr>
        <w:pStyle w:val="ListParagraph"/>
        <w:numPr>
          <w:ilvl w:val="1"/>
          <w:numId w:val="11"/>
        </w:numPr>
        <w:autoSpaceDE w:val="0"/>
        <w:autoSpaceDN w:val="0"/>
        <w:adjustRightInd w:val="0"/>
        <w:spacing w:after="0"/>
        <w:rPr>
          <w:rFonts w:cs="Arial"/>
        </w:rPr>
      </w:pPr>
      <w:r w:rsidRPr="00F93238">
        <w:rPr>
          <w:rFonts w:cs="Arial"/>
        </w:rPr>
        <w:t>Align clinical demand for blood and blood related products with that required to meet evidence based clinical need</w:t>
      </w:r>
    </w:p>
    <w:p w:rsidR="002E207A" w:rsidRPr="00F93238" w:rsidRDefault="002E207A" w:rsidP="00A04E07">
      <w:pPr>
        <w:pStyle w:val="ListParagraph"/>
        <w:numPr>
          <w:ilvl w:val="1"/>
          <w:numId w:val="11"/>
        </w:numPr>
        <w:autoSpaceDE w:val="0"/>
        <w:autoSpaceDN w:val="0"/>
        <w:adjustRightInd w:val="0"/>
        <w:spacing w:after="0"/>
        <w:rPr>
          <w:rFonts w:cs="Arial"/>
        </w:rPr>
      </w:pPr>
      <w:r w:rsidRPr="00F93238">
        <w:rPr>
          <w:rFonts w:cs="Arial"/>
        </w:rPr>
        <w:t>Provide an appropriate level of supply security at the lowest feasible and sustainable cost</w:t>
      </w:r>
    </w:p>
    <w:p w:rsidR="002E207A" w:rsidRPr="00F93238" w:rsidRDefault="002E207A" w:rsidP="00A04E07">
      <w:pPr>
        <w:pStyle w:val="ListParagraph"/>
        <w:numPr>
          <w:ilvl w:val="1"/>
          <w:numId w:val="11"/>
        </w:numPr>
        <w:autoSpaceDE w:val="0"/>
        <w:autoSpaceDN w:val="0"/>
        <w:adjustRightInd w:val="0"/>
        <w:spacing w:after="0"/>
        <w:rPr>
          <w:rFonts w:cs="Arial"/>
        </w:rPr>
      </w:pPr>
      <w:r w:rsidRPr="00F93238">
        <w:rPr>
          <w:rFonts w:cs="Arial"/>
        </w:rPr>
        <w:t>Purchase products which provide the best value for money while not compromising patient outcomes</w:t>
      </w:r>
    </w:p>
    <w:p w:rsidR="002E207A" w:rsidRPr="00F93238" w:rsidRDefault="002E207A" w:rsidP="00A04E07">
      <w:pPr>
        <w:pStyle w:val="ListParagraph"/>
        <w:numPr>
          <w:ilvl w:val="1"/>
          <w:numId w:val="11"/>
        </w:numPr>
        <w:autoSpaceDE w:val="0"/>
        <w:autoSpaceDN w:val="0"/>
        <w:adjustRightInd w:val="0"/>
        <w:spacing w:after="0"/>
        <w:rPr>
          <w:rFonts w:cs="Arial"/>
        </w:rPr>
      </w:pPr>
      <w:r w:rsidRPr="00F93238">
        <w:rPr>
          <w:rFonts w:cs="Arial"/>
        </w:rPr>
        <w:t>Stimulate targeted and priority research and analysis of the sector</w:t>
      </w:r>
    </w:p>
    <w:p w:rsidR="002E207A" w:rsidRPr="00F93238" w:rsidRDefault="002E207A" w:rsidP="00A04E07">
      <w:pPr>
        <w:pStyle w:val="ListParagraph"/>
        <w:numPr>
          <w:ilvl w:val="1"/>
          <w:numId w:val="11"/>
        </w:numPr>
        <w:autoSpaceDE w:val="0"/>
        <w:autoSpaceDN w:val="0"/>
        <w:adjustRightInd w:val="0"/>
        <w:spacing w:after="0"/>
        <w:rPr>
          <w:rFonts w:cs="Arial"/>
        </w:rPr>
      </w:pPr>
      <w:r w:rsidRPr="00F93238">
        <w:rPr>
          <w:rFonts w:cs="Arial"/>
        </w:rPr>
        <w:t>Ensure that government policy objectives are measured and achieved</w:t>
      </w:r>
    </w:p>
    <w:p w:rsidR="002E207A" w:rsidRPr="005E1002" w:rsidRDefault="002E207A" w:rsidP="00A04E07">
      <w:pPr>
        <w:pStyle w:val="ListParagraph"/>
        <w:numPr>
          <w:ilvl w:val="0"/>
          <w:numId w:val="12"/>
        </w:numPr>
        <w:spacing w:after="0"/>
      </w:pPr>
      <w:r w:rsidRPr="00F93238">
        <w:rPr>
          <w:rFonts w:cs="Arial"/>
        </w:rPr>
        <w:t xml:space="preserve">Demonstrate transparency and accountability of the </w:t>
      </w:r>
      <w:r>
        <w:rPr>
          <w:rFonts w:cs="Arial"/>
        </w:rPr>
        <w:t>data and information</w:t>
      </w:r>
      <w:r w:rsidRPr="00F93238">
        <w:rPr>
          <w:rFonts w:cs="Arial"/>
        </w:rPr>
        <w:t xml:space="preserve"> within the sector.</w:t>
      </w:r>
    </w:p>
    <w:p w:rsidR="002E207A" w:rsidRPr="00F93238" w:rsidRDefault="002E207A" w:rsidP="00A04E07">
      <w:pPr>
        <w:pStyle w:val="ListParagraph"/>
        <w:numPr>
          <w:ilvl w:val="0"/>
          <w:numId w:val="12"/>
        </w:numPr>
        <w:spacing w:after="0"/>
      </w:pPr>
      <w:r>
        <w:rPr>
          <w:rFonts w:cs="Arial"/>
        </w:rPr>
        <w:t xml:space="preserve">Position the blood sector for integration into the National Health Reform, including alignment with the National Health Performance Framework, using a </w:t>
      </w:r>
      <w:r>
        <w:t>Blood Sector Performance Scorecard administered by the NBA.</w:t>
      </w:r>
    </w:p>
    <w:p w:rsidR="002E207A" w:rsidRDefault="002E207A" w:rsidP="00A04E07">
      <w:pPr>
        <w:pStyle w:val="Heading2"/>
      </w:pPr>
      <w:bookmarkStart w:id="8" w:name="_Toc337200682"/>
      <w:bookmarkStart w:id="9" w:name="_Toc343432036"/>
      <w:r>
        <w:t>Strategic Priorities</w:t>
      </w:r>
      <w:bookmarkEnd w:id="8"/>
      <w:r>
        <w:t xml:space="preserve"> 2013</w:t>
      </w:r>
      <w:r>
        <w:noBreakHyphen/>
        <w:t>16</w:t>
      </w:r>
      <w:bookmarkEnd w:id="9"/>
    </w:p>
    <w:p w:rsidR="002E207A" w:rsidRPr="00261F13" w:rsidRDefault="002E207A" w:rsidP="00A04E07">
      <w:pPr>
        <w:rPr>
          <w:i/>
          <w:color w:val="C00000"/>
        </w:rPr>
      </w:pPr>
      <w:r w:rsidRPr="00261F13">
        <w:rPr>
          <w:i/>
          <w:color w:val="C00000"/>
        </w:rPr>
        <w:t xml:space="preserve">The Strategy consists of five Strategic Priority streams of activities: </w:t>
      </w:r>
    </w:p>
    <w:p w:rsidR="002E207A" w:rsidRDefault="002E207A" w:rsidP="00A04E07">
      <w:pPr>
        <w:pStyle w:val="ListParagraph"/>
        <w:numPr>
          <w:ilvl w:val="0"/>
          <w:numId w:val="13"/>
        </w:numPr>
        <w:spacing w:line="276" w:lineRule="auto"/>
      </w:pPr>
      <w:r>
        <w:t>Establish an overall architecture for data collection and information flows and relationships</w:t>
      </w:r>
    </w:p>
    <w:p w:rsidR="002E207A" w:rsidRDefault="002E207A" w:rsidP="00A04E07">
      <w:pPr>
        <w:pStyle w:val="ListParagraph"/>
        <w:numPr>
          <w:ilvl w:val="0"/>
          <w:numId w:val="13"/>
        </w:numPr>
        <w:spacing w:line="276" w:lineRule="auto"/>
      </w:pPr>
      <w:r>
        <w:t>Define governance principles for the collection and management of data and information</w:t>
      </w:r>
    </w:p>
    <w:p w:rsidR="002E207A" w:rsidRPr="004663D4" w:rsidRDefault="002E207A" w:rsidP="00A04E07">
      <w:pPr>
        <w:pStyle w:val="ListParagraph"/>
        <w:numPr>
          <w:ilvl w:val="0"/>
          <w:numId w:val="13"/>
        </w:numPr>
        <w:spacing w:line="276" w:lineRule="auto"/>
      </w:pPr>
      <w:r>
        <w:t>Promote</w:t>
      </w:r>
      <w:r w:rsidRPr="004663D4">
        <w:t xml:space="preserve"> a standardised approach to data sets and system capabilities </w:t>
      </w:r>
    </w:p>
    <w:p w:rsidR="002E207A" w:rsidRDefault="002E207A" w:rsidP="00A04E07">
      <w:pPr>
        <w:pStyle w:val="ListParagraph"/>
        <w:numPr>
          <w:ilvl w:val="0"/>
          <w:numId w:val="13"/>
        </w:numPr>
        <w:spacing w:line="276" w:lineRule="auto"/>
      </w:pPr>
      <w:r>
        <w:t xml:space="preserve">Prioritise data collection and system development required for the sector </w:t>
      </w:r>
    </w:p>
    <w:p w:rsidR="002E207A" w:rsidRDefault="002E207A" w:rsidP="00A04E07">
      <w:pPr>
        <w:pStyle w:val="ListParagraph"/>
        <w:numPr>
          <w:ilvl w:val="0"/>
          <w:numId w:val="13"/>
        </w:numPr>
        <w:spacing w:line="276" w:lineRule="auto"/>
      </w:pPr>
      <w:r>
        <w:t>Drive sector improvement with data analyses and publication.</w:t>
      </w:r>
    </w:p>
    <w:p w:rsidR="002E207A" w:rsidRDefault="002E207A" w:rsidP="008353A9">
      <w:pPr>
        <w:spacing w:line="276" w:lineRule="auto"/>
      </w:pPr>
    </w:p>
    <w:p w:rsidR="006E665F" w:rsidRDefault="006E665F">
      <w:pPr>
        <w:spacing w:after="0"/>
      </w:pPr>
      <w:r>
        <w:br w:type="page"/>
      </w:r>
    </w:p>
    <w:p w:rsidR="006E665F" w:rsidRDefault="006E665F">
      <w:pPr>
        <w:spacing w:after="0"/>
      </w:pPr>
    </w:p>
    <w:p w:rsidR="006E665F" w:rsidRDefault="006E665F" w:rsidP="006E665F">
      <w:pPr>
        <w:spacing w:line="276" w:lineRule="auto"/>
      </w:pPr>
      <w:r>
        <w:t>The strategic streams are presented in the figure below. This illustrates the five strategic priority streams of activities (in green) which support the JBC strategic priorities (in purple). It also shows how all five streams align to the four goals identified in the JBC Strategic Plan 2013-15 (in blue).</w:t>
      </w:r>
    </w:p>
    <w:p w:rsidR="006E665F" w:rsidRDefault="006E665F">
      <w:pPr>
        <w:spacing w:after="0"/>
      </w:pPr>
    </w:p>
    <w:p w:rsidR="006E665F" w:rsidRDefault="006E665F">
      <w:pPr>
        <w:spacing w:after="0"/>
      </w:pPr>
    </w:p>
    <w:p w:rsidR="006E665F" w:rsidRDefault="006E665F">
      <w:pPr>
        <w:spacing w:after="0"/>
      </w:pPr>
      <w:r w:rsidRPr="006E665F">
        <w:rPr>
          <w:noProof/>
          <w:lang w:eastAsia="en-AU"/>
        </w:rPr>
        <w:drawing>
          <wp:inline distT="0" distB="0" distL="0" distR="0" wp14:anchorId="0AD37DD6" wp14:editId="6E8F2D3E">
            <wp:extent cx="5853430" cy="450263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3430" cy="4502638"/>
                    </a:xfrm>
                    <a:prstGeom prst="rect">
                      <a:avLst/>
                    </a:prstGeom>
                    <a:noFill/>
                    <a:ln>
                      <a:noFill/>
                    </a:ln>
                  </pic:spPr>
                </pic:pic>
              </a:graphicData>
            </a:graphic>
          </wp:inline>
        </w:drawing>
      </w:r>
      <w:r>
        <w:br w:type="page"/>
      </w:r>
    </w:p>
    <w:p w:rsidR="002E207A" w:rsidRDefault="002E207A" w:rsidP="00A8463B">
      <w:pPr>
        <w:spacing w:before="120" w:after="0"/>
      </w:pPr>
      <w:bookmarkStart w:id="10" w:name="_Toc337200683"/>
    </w:p>
    <w:p w:rsidR="002E207A" w:rsidRDefault="006733AD" w:rsidP="00A8463B">
      <w:r>
        <w:rPr>
          <w:noProof/>
          <w:lang w:eastAsia="en-AU"/>
        </w:rPr>
        <mc:AlternateContent>
          <mc:Choice Requires="wps">
            <w:drawing>
              <wp:anchor distT="0" distB="0" distL="114300" distR="114300" simplePos="0" relativeHeight="251660288" behindDoc="0" locked="0" layoutInCell="1" allowOverlap="1" wp14:anchorId="05C78DB3" wp14:editId="5393CE57">
                <wp:simplePos x="0" y="0"/>
                <wp:positionH relativeFrom="page">
                  <wp:posOffset>0</wp:posOffset>
                </wp:positionH>
                <wp:positionV relativeFrom="page">
                  <wp:posOffset>756285</wp:posOffset>
                </wp:positionV>
                <wp:extent cx="4561205" cy="763270"/>
                <wp:effectExtent l="9525" t="13335" r="10795" b="13970"/>
                <wp:wrapTopAndBottom/>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1205" cy="763270"/>
                        </a:xfrm>
                        <a:prstGeom prst="rect">
                          <a:avLst/>
                        </a:prstGeom>
                        <a:solidFill>
                          <a:srgbClr val="005374"/>
                        </a:solidFill>
                        <a:ln w="9525">
                          <a:solidFill>
                            <a:srgbClr val="FFFFFF"/>
                          </a:solidFill>
                          <a:miter lim="800000"/>
                          <a:headEnd/>
                          <a:tailEnd/>
                        </a:ln>
                      </wps:spPr>
                      <wps:txbx>
                        <w:txbxContent>
                          <w:p w:rsidR="007649D7" w:rsidRPr="00391D4F" w:rsidRDefault="007649D7" w:rsidP="00A04E07">
                            <w:pPr>
                              <w:spacing w:after="0"/>
                              <w:ind w:left="993" w:hanging="426"/>
                              <w:rPr>
                                <w:color w:val="FFFFFF"/>
                                <w:sz w:val="28"/>
                                <w:szCs w:val="28"/>
                              </w:rPr>
                            </w:pPr>
                            <w:r w:rsidRPr="00391D4F">
                              <w:rPr>
                                <w:color w:val="FFFFFF"/>
                                <w:sz w:val="48"/>
                                <w:szCs w:val="48"/>
                              </w:rPr>
                              <w:t>1.</w:t>
                            </w:r>
                            <w:r w:rsidRPr="00391D4F">
                              <w:rPr>
                                <w:color w:val="FFFFFF"/>
                                <w:sz w:val="28"/>
                                <w:szCs w:val="28"/>
                              </w:rPr>
                              <w:t xml:space="preserve"> Establish an overall architecture for data collection and information flows and relationships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0;margin-top:59.55pt;width:359.15pt;height:60.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" fillcolor="#005374" strokecolor="white">
                <v:textbox>
                  <w:txbxContent>
                    <w:p w:rsidR="007649D7" w:rsidRPr="00391D4F" w:rsidRDefault="007649D7" w:rsidP="00A04E07">
                      <w:pPr>
                        <w:spacing w:after="0"/>
                        <w:ind w:left="993" w:hanging="426"/>
                        <w:rPr>
                          <w:color w:val="FFFFFF"/>
                          <w:sz w:val="28"/>
                          <w:szCs w:val="28"/>
                        </w:rPr>
                      </w:pPr>
                      <w:r w:rsidRPr="00391D4F">
                        <w:rPr>
                          <w:color w:val="FFFFFF"/>
                          <w:sz w:val="48"/>
                          <w:szCs w:val="48"/>
                        </w:rPr>
                        <w:t>1.</w:t>
                      </w:r>
                      <w:r w:rsidRPr="00391D4F">
                        <w:rPr>
                          <w:color w:val="FFFFFF"/>
                          <w:sz w:val="28"/>
                          <w:szCs w:val="28"/>
                        </w:rPr>
                        <w:t xml:space="preserve"> Establish an overall architecture for data collection and information flows and relationships</w:t>
                      </w:r>
                    </w:p>
                  </w:txbxContent>
                </v:textbox>
                <w10:wrap type="topAndBottom" anchorx="page" anchory="page"/>
              </v:shape>
            </w:pict>
          </mc:Fallback>
        </mc:AlternateContent>
      </w:r>
      <w:bookmarkEnd w:id="10"/>
      <w:r w:rsidR="002E207A" w:rsidRPr="006F4A1F">
        <w:t>The architecture of the data, systems and information flow</w:t>
      </w:r>
      <w:r w:rsidR="002E207A">
        <w:t xml:space="preserve"> </w:t>
      </w:r>
      <w:r w:rsidR="002E207A" w:rsidRPr="006F4A1F">
        <w:t>in the sector needs to capture</w:t>
      </w:r>
      <w:r w:rsidR="002E207A">
        <w:t>, validate and reconcile</w:t>
      </w:r>
      <w:r w:rsidR="002E207A" w:rsidRPr="006F4A1F">
        <w:t xml:space="preserve"> data just once, at source, </w:t>
      </w:r>
      <w:r w:rsidR="002E207A">
        <w:t>in order to</w:t>
      </w:r>
      <w:r w:rsidR="002E207A" w:rsidRPr="006F4A1F">
        <w:t xml:space="preserve"> generate real valu</w:t>
      </w:r>
      <w:r w:rsidR="002E207A">
        <w:t>e across the sector</w:t>
      </w:r>
      <w:r w:rsidR="002E207A" w:rsidRPr="006F4A1F">
        <w:t>.</w:t>
      </w:r>
      <w:r w:rsidR="002E207A">
        <w:t xml:space="preserve"> </w:t>
      </w:r>
      <w:r w:rsidR="002E207A" w:rsidRPr="006F4A1F">
        <w:t>The</w:t>
      </w:r>
      <w:r w:rsidR="002E207A">
        <w:t>re are</w:t>
      </w:r>
      <w:r w:rsidR="002E207A" w:rsidRPr="006F4A1F">
        <w:t xml:space="preserve"> serious limitations in the existing blood sector information architecture </w:t>
      </w:r>
      <w:r w:rsidR="002E207A">
        <w:t>as a result of</w:t>
      </w:r>
      <w:r w:rsidR="002E207A" w:rsidRPr="006F4A1F">
        <w:t>, in part, dispersed responsibilities.</w:t>
      </w:r>
      <w:r w:rsidR="002E207A">
        <w:t xml:space="preserve"> This </w:t>
      </w:r>
      <w:r w:rsidR="002E207A" w:rsidRPr="006F4A1F">
        <w:t>Strategy is designed to build collaboration and a shared commitment to more efficient and comprehensive data collection and dissemination.</w:t>
      </w:r>
    </w:p>
    <w:tbl>
      <w:tblPr>
        <w:tblW w:w="4945"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57" w:type="dxa"/>
          <w:bottom w:w="57" w:type="dxa"/>
        </w:tblCellMar>
        <w:tblLook w:val="00A0" w:firstRow="1" w:lastRow="0" w:firstColumn="1" w:lastColumn="0" w:noHBand="0" w:noVBand="0"/>
      </w:tblPr>
      <w:tblGrid>
        <w:gridCol w:w="4613"/>
        <w:gridCol w:w="4717"/>
      </w:tblGrid>
      <w:tr w:rsidR="002E207A" w:rsidTr="00391D4F">
        <w:trPr>
          <w:tblHeader/>
        </w:trPr>
        <w:tc>
          <w:tcPr>
            <w:tcW w:w="2472" w:type="pct"/>
            <w:tcBorders>
              <w:top w:val="single" w:sz="8" w:space="0" w:color="C00000"/>
              <w:left w:val="nil"/>
              <w:bottom w:val="single" w:sz="8" w:space="0" w:color="C00000"/>
              <w:right w:val="nil"/>
            </w:tcBorders>
            <w:shd w:val="clear" w:color="auto" w:fill="FFFFFF"/>
            <w:vAlign w:val="center"/>
          </w:tcPr>
          <w:p w:rsidR="002E207A" w:rsidRPr="00391D4F" w:rsidRDefault="002E207A" w:rsidP="00017DEA">
            <w:pPr>
              <w:contextualSpacing/>
              <w:rPr>
                <w:b/>
                <w:color w:val="C00000"/>
              </w:rPr>
            </w:pPr>
            <w:r w:rsidRPr="00391D4F">
              <w:rPr>
                <w:b/>
                <w:color w:val="C00000"/>
              </w:rPr>
              <w:t>Desired Outcome</w:t>
            </w:r>
          </w:p>
        </w:tc>
        <w:tc>
          <w:tcPr>
            <w:tcW w:w="2528" w:type="pct"/>
            <w:tcBorders>
              <w:top w:val="single" w:sz="8" w:space="0" w:color="C00000"/>
              <w:left w:val="nil"/>
              <w:bottom w:val="single" w:sz="8" w:space="0" w:color="C00000"/>
              <w:right w:val="nil"/>
            </w:tcBorders>
            <w:shd w:val="clear" w:color="auto" w:fill="FFFFFF"/>
            <w:vAlign w:val="center"/>
          </w:tcPr>
          <w:p w:rsidR="002E207A" w:rsidRPr="00391D4F" w:rsidRDefault="002E207A" w:rsidP="00017DEA">
            <w:pPr>
              <w:contextualSpacing/>
              <w:rPr>
                <w:b/>
                <w:color w:val="C00000"/>
              </w:rPr>
            </w:pPr>
            <w:r w:rsidRPr="00391D4F">
              <w:rPr>
                <w:b/>
                <w:color w:val="C00000"/>
              </w:rPr>
              <w:t>Key Strategies</w:t>
            </w:r>
          </w:p>
        </w:tc>
      </w:tr>
      <w:tr w:rsidR="002E207A" w:rsidTr="00391D4F">
        <w:tc>
          <w:tcPr>
            <w:tcW w:w="2472" w:type="pct"/>
            <w:shd w:val="clear" w:color="auto" w:fill="F2F2F2"/>
            <w:vAlign w:val="center"/>
          </w:tcPr>
          <w:p w:rsidR="002E207A" w:rsidRDefault="002E207A" w:rsidP="00A8463B">
            <w:pPr>
              <w:contextualSpacing/>
            </w:pPr>
            <w:r w:rsidRPr="00391D4F">
              <w:rPr>
                <w:color w:val="000000"/>
              </w:rPr>
              <w:t xml:space="preserve">1.1 The National Blood Sector Data and Information Strategy is maintained so that it remains relevant </w:t>
            </w:r>
          </w:p>
        </w:tc>
        <w:tc>
          <w:tcPr>
            <w:tcW w:w="2528" w:type="pct"/>
            <w:shd w:val="clear" w:color="auto" w:fill="F2F2F2"/>
            <w:vAlign w:val="center"/>
          </w:tcPr>
          <w:p w:rsidR="002E207A" w:rsidRPr="00391D4F" w:rsidRDefault="002E207A" w:rsidP="002C4F35">
            <w:pPr>
              <w:contextualSpacing/>
              <w:rPr>
                <w:color w:val="000000"/>
              </w:rPr>
            </w:pPr>
            <w:r w:rsidRPr="00391D4F">
              <w:rPr>
                <w:color w:val="000000"/>
              </w:rPr>
              <w:t>1.1.1 Publish the agreed National Blood Sector Data and Information Strategy for 2013</w:t>
            </w:r>
            <w:r w:rsidRPr="00391D4F">
              <w:rPr>
                <w:color w:val="000000"/>
              </w:rPr>
              <w:noBreakHyphen/>
              <w:t>16 (2012</w:t>
            </w:r>
            <w:r w:rsidRPr="00391D4F">
              <w:rPr>
                <w:color w:val="000000"/>
              </w:rPr>
              <w:noBreakHyphen/>
              <w:t>13)</w:t>
            </w:r>
          </w:p>
          <w:p w:rsidR="002E207A" w:rsidRPr="00391D4F" w:rsidRDefault="002E207A" w:rsidP="002C4F35">
            <w:pPr>
              <w:contextualSpacing/>
              <w:rPr>
                <w:color w:val="000000"/>
              </w:rPr>
            </w:pPr>
          </w:p>
          <w:p w:rsidR="002E207A" w:rsidRPr="00391D4F" w:rsidRDefault="002E207A" w:rsidP="00A25195">
            <w:pPr>
              <w:contextualSpacing/>
              <w:rPr>
                <w:color w:val="000000"/>
              </w:rPr>
            </w:pPr>
            <w:r w:rsidRPr="00391D4F">
              <w:rPr>
                <w:color w:val="000000"/>
              </w:rPr>
              <w:t>1.1.</w:t>
            </w:r>
            <w:r w:rsidR="00A25195">
              <w:rPr>
                <w:color w:val="000000"/>
              </w:rPr>
              <w:t>2</w:t>
            </w:r>
            <w:r w:rsidRPr="00391D4F">
              <w:rPr>
                <w:color w:val="000000"/>
              </w:rPr>
              <w:t xml:space="preserve"> Monitor best practices in health informatics to inform the activities of the sector (2013</w:t>
            </w:r>
            <w:r w:rsidRPr="00391D4F">
              <w:rPr>
                <w:color w:val="000000"/>
              </w:rPr>
              <w:noBreakHyphen/>
              <w:t>16)</w:t>
            </w:r>
          </w:p>
        </w:tc>
      </w:tr>
      <w:tr w:rsidR="002E207A" w:rsidTr="00391D4F">
        <w:tc>
          <w:tcPr>
            <w:tcW w:w="2472" w:type="pct"/>
            <w:tcBorders>
              <w:top w:val="nil"/>
              <w:left w:val="nil"/>
              <w:bottom w:val="nil"/>
              <w:right w:val="nil"/>
            </w:tcBorders>
            <w:shd w:val="clear" w:color="auto" w:fill="FFFFFF"/>
            <w:vAlign w:val="center"/>
          </w:tcPr>
          <w:p w:rsidR="002E207A" w:rsidRDefault="002E207A" w:rsidP="002C4F35">
            <w:pPr>
              <w:contextualSpacing/>
            </w:pPr>
            <w:r w:rsidRPr="00391D4F">
              <w:rPr>
                <w:color w:val="000000"/>
              </w:rPr>
              <w:t>1.2 The overall architecture for data collection and information flows and relationships in the blood sector is published and gaps identified</w:t>
            </w:r>
          </w:p>
          <w:p w:rsidR="002E207A" w:rsidRDefault="002E207A" w:rsidP="002C4F35">
            <w:pPr>
              <w:contextualSpacing/>
            </w:pPr>
          </w:p>
        </w:tc>
        <w:tc>
          <w:tcPr>
            <w:tcW w:w="2528" w:type="pct"/>
            <w:tcBorders>
              <w:top w:val="nil"/>
              <w:left w:val="nil"/>
              <w:bottom w:val="nil"/>
              <w:right w:val="nil"/>
            </w:tcBorders>
            <w:shd w:val="clear" w:color="auto" w:fill="FFFFFF"/>
            <w:vAlign w:val="center"/>
          </w:tcPr>
          <w:p w:rsidR="002E207A" w:rsidRPr="00391D4F" w:rsidRDefault="002E207A" w:rsidP="002C4F35">
            <w:pPr>
              <w:contextualSpacing/>
              <w:rPr>
                <w:color w:val="000000"/>
              </w:rPr>
            </w:pPr>
            <w:r w:rsidRPr="00391D4F">
              <w:rPr>
                <w:color w:val="000000"/>
              </w:rPr>
              <w:t>1.2.1 The NBA will work with the stakeholders to document the data sets available for the blood sector and to identify the gaps in data collections and data linkages within the sector (2013</w:t>
            </w:r>
            <w:r w:rsidRPr="00391D4F">
              <w:rPr>
                <w:color w:val="000000"/>
              </w:rPr>
              <w:noBreakHyphen/>
              <w:t xml:space="preserve">14) </w:t>
            </w:r>
          </w:p>
          <w:p w:rsidR="002E207A" w:rsidRPr="00391D4F" w:rsidRDefault="002E207A" w:rsidP="002C4F35">
            <w:pPr>
              <w:contextualSpacing/>
              <w:rPr>
                <w:color w:val="000000"/>
              </w:rPr>
            </w:pPr>
          </w:p>
          <w:p w:rsidR="002E207A" w:rsidRPr="00391D4F" w:rsidRDefault="002E207A" w:rsidP="00533465">
            <w:pPr>
              <w:contextualSpacing/>
              <w:rPr>
                <w:color w:val="000000"/>
              </w:rPr>
            </w:pPr>
            <w:r w:rsidRPr="00391D4F">
              <w:rPr>
                <w:color w:val="000000"/>
              </w:rPr>
              <w:t>1.2.2 The NBA will work with the stakeholders to document the blood sector data collection architecture including the information flows and relationships and make it available to the blood sector (2013</w:t>
            </w:r>
            <w:r w:rsidRPr="00391D4F">
              <w:rPr>
                <w:color w:val="000000"/>
              </w:rPr>
              <w:noBreakHyphen/>
              <w:t>14)</w:t>
            </w:r>
          </w:p>
          <w:p w:rsidR="002E207A" w:rsidRPr="00391D4F" w:rsidRDefault="002E207A" w:rsidP="00533465">
            <w:pPr>
              <w:contextualSpacing/>
              <w:rPr>
                <w:color w:val="000000"/>
              </w:rPr>
            </w:pPr>
          </w:p>
          <w:p w:rsidR="002E207A" w:rsidRDefault="002E207A" w:rsidP="004021F3">
            <w:pPr>
              <w:contextualSpacing/>
            </w:pPr>
            <w:r w:rsidRPr="00391D4F">
              <w:rPr>
                <w:color w:val="000000"/>
              </w:rPr>
              <w:t>1.2.3 The NBA will work with stakeholders to prioritise and identify measures to address the gaps in data collections and data linkages within the sector (2014</w:t>
            </w:r>
            <w:r w:rsidRPr="00391D4F">
              <w:rPr>
                <w:color w:val="000000"/>
              </w:rPr>
              <w:noBreakHyphen/>
              <w:t>15)</w:t>
            </w:r>
          </w:p>
        </w:tc>
      </w:tr>
      <w:tr w:rsidR="002E207A" w:rsidTr="00391D4F">
        <w:tc>
          <w:tcPr>
            <w:tcW w:w="2472" w:type="pct"/>
            <w:shd w:val="clear" w:color="auto" w:fill="F2F2F2"/>
            <w:vAlign w:val="center"/>
          </w:tcPr>
          <w:p w:rsidR="002E207A" w:rsidRDefault="002E207A" w:rsidP="002C4F35">
            <w:pPr>
              <w:contextualSpacing/>
            </w:pPr>
            <w:r w:rsidRPr="00391D4F">
              <w:rPr>
                <w:color w:val="000000"/>
              </w:rPr>
              <w:t>1.3 Effective processes and tools to support data sharing are developed</w:t>
            </w:r>
          </w:p>
        </w:tc>
        <w:tc>
          <w:tcPr>
            <w:tcW w:w="2528" w:type="pct"/>
            <w:shd w:val="clear" w:color="auto" w:fill="F2F2F2"/>
            <w:vAlign w:val="center"/>
          </w:tcPr>
          <w:p w:rsidR="002E207A" w:rsidRPr="00391D4F" w:rsidRDefault="002E207A" w:rsidP="00035656">
            <w:pPr>
              <w:contextualSpacing/>
              <w:rPr>
                <w:color w:val="000000"/>
              </w:rPr>
            </w:pPr>
            <w:r w:rsidRPr="00391D4F">
              <w:rPr>
                <w:color w:val="000000"/>
              </w:rPr>
              <w:t>1.3.1 Coordinate and inform the data and information activities of government departments with those of blood sector suppliers and the clinical community (2014</w:t>
            </w:r>
            <w:r w:rsidRPr="00391D4F">
              <w:rPr>
                <w:color w:val="000000"/>
              </w:rPr>
              <w:noBreakHyphen/>
              <w:t>16)</w:t>
            </w:r>
          </w:p>
          <w:p w:rsidR="002E207A" w:rsidRPr="00391D4F" w:rsidRDefault="002E207A" w:rsidP="006C2D7B">
            <w:pPr>
              <w:contextualSpacing/>
              <w:rPr>
                <w:color w:val="000000"/>
              </w:rPr>
            </w:pPr>
          </w:p>
          <w:p w:rsidR="002E207A" w:rsidRPr="00391D4F" w:rsidRDefault="002E207A" w:rsidP="00035656">
            <w:pPr>
              <w:contextualSpacing/>
              <w:rPr>
                <w:color w:val="000000"/>
              </w:rPr>
            </w:pPr>
            <w:r w:rsidRPr="00391D4F">
              <w:rPr>
                <w:color w:val="000000"/>
              </w:rPr>
              <w:t>1.3.2 The NBA will work with key stakeholders to develop and implement data sharing and usage agreements between blood sector stakeholders (2013</w:t>
            </w:r>
            <w:r w:rsidRPr="00391D4F">
              <w:rPr>
                <w:color w:val="000000"/>
              </w:rPr>
              <w:noBreakHyphen/>
              <w:t>15)</w:t>
            </w:r>
          </w:p>
        </w:tc>
      </w:tr>
    </w:tbl>
    <w:p w:rsidR="002E207A" w:rsidRDefault="002E207A" w:rsidP="00A04E07"/>
    <w:p w:rsidR="002E207A" w:rsidRDefault="002E207A">
      <w:pPr>
        <w:spacing w:after="0"/>
      </w:pPr>
      <w:r>
        <w:br w:type="page"/>
      </w:r>
    </w:p>
    <w:p w:rsidR="002E207A" w:rsidRDefault="002E207A" w:rsidP="00A04E07"/>
    <w:p w:rsidR="002E207A" w:rsidRDefault="006733AD" w:rsidP="00565157">
      <w:pPr>
        <w:spacing w:after="0"/>
      </w:pPr>
      <w:r>
        <w:rPr>
          <w:noProof/>
          <w:lang w:eastAsia="en-AU"/>
        </w:rPr>
        <mc:AlternateContent>
          <mc:Choice Requires="wps">
            <w:drawing>
              <wp:anchor distT="0" distB="0" distL="114300" distR="114300" simplePos="0" relativeHeight="251661312" behindDoc="0" locked="0" layoutInCell="1" allowOverlap="1" wp14:anchorId="685FAFED" wp14:editId="39ED0C83">
                <wp:simplePos x="0" y="0"/>
                <wp:positionH relativeFrom="page">
                  <wp:posOffset>0</wp:posOffset>
                </wp:positionH>
                <wp:positionV relativeFrom="page">
                  <wp:posOffset>756285</wp:posOffset>
                </wp:positionV>
                <wp:extent cx="4669155" cy="770255"/>
                <wp:effectExtent l="9525" t="13335" r="7620" b="6985"/>
                <wp:wrapSquare wrapText="bothSides"/>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9155" cy="770255"/>
                        </a:xfrm>
                        <a:prstGeom prst="rect">
                          <a:avLst/>
                        </a:prstGeom>
                        <a:solidFill>
                          <a:srgbClr val="005374"/>
                        </a:solidFill>
                        <a:ln w="9525">
                          <a:solidFill>
                            <a:srgbClr val="FFFFFF"/>
                          </a:solidFill>
                          <a:miter lim="800000"/>
                          <a:headEnd/>
                          <a:tailEnd/>
                        </a:ln>
                      </wps:spPr>
                      <wps:txbx>
                        <w:txbxContent>
                          <w:p w:rsidR="007649D7" w:rsidRPr="00391D4F" w:rsidRDefault="007649D7" w:rsidP="00A04E07">
                            <w:pPr>
                              <w:spacing w:after="0"/>
                              <w:ind w:left="993" w:hanging="426"/>
                              <w:rPr>
                                <w:color w:val="FFFFFF"/>
                                <w:sz w:val="28"/>
                                <w:szCs w:val="28"/>
                              </w:rPr>
                            </w:pPr>
                            <w:bookmarkStart w:id="11" w:name="_Toc334374989"/>
                            <w:r w:rsidRPr="00391D4F">
                              <w:rPr>
                                <w:color w:val="FFFFFF"/>
                                <w:sz w:val="48"/>
                                <w:szCs w:val="48"/>
                              </w:rPr>
                              <w:t>2.</w:t>
                            </w:r>
                            <w:r w:rsidRPr="00391D4F">
                              <w:rPr>
                                <w:color w:val="FFFFFF"/>
                                <w:sz w:val="28"/>
                                <w:szCs w:val="28"/>
                              </w:rPr>
                              <w:t xml:space="preserve"> Define governance principles for the collection and management of data and information</w:t>
                            </w:r>
                            <w:bookmarkEnd w:id="1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0;margin-top:59.55pt;width:367.65pt;height:60.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" fillcolor="#005374" strokecolor="white">
                <v:textbox>
                  <w:txbxContent>
                    <w:p w:rsidR="007649D7" w:rsidRPr="00391D4F" w:rsidRDefault="007649D7" w:rsidP="00A04E07">
                      <w:pPr>
                        <w:spacing w:after="0"/>
                        <w:ind w:left="993" w:hanging="426"/>
                        <w:rPr>
                          <w:color w:val="FFFFFF"/>
                          <w:sz w:val="28"/>
                          <w:szCs w:val="28"/>
                        </w:rPr>
                      </w:pPr>
                      <w:bookmarkStart w:id="12" w:name="_Toc334374989"/>
                      <w:r w:rsidRPr="00391D4F">
                        <w:rPr>
                          <w:color w:val="FFFFFF"/>
                          <w:sz w:val="48"/>
                          <w:szCs w:val="48"/>
                        </w:rPr>
                        <w:t>2.</w:t>
                      </w:r>
                      <w:r w:rsidRPr="00391D4F">
                        <w:rPr>
                          <w:color w:val="FFFFFF"/>
                          <w:sz w:val="28"/>
                          <w:szCs w:val="28"/>
                        </w:rPr>
                        <w:t xml:space="preserve"> Define governance principles for the collection and management of data and information</w:t>
                      </w:r>
                      <w:bookmarkEnd w:id="12"/>
                    </w:p>
                  </w:txbxContent>
                </v:textbox>
                <w10:wrap type="square" anchorx="page" anchory="page"/>
              </v:shape>
            </w:pict>
          </mc:Fallback>
        </mc:AlternateContent>
      </w:r>
    </w:p>
    <w:p w:rsidR="002E207A" w:rsidRDefault="002E207A" w:rsidP="00A04E07"/>
    <w:p w:rsidR="002E207A" w:rsidRDefault="002E207A" w:rsidP="004021F3">
      <w:pPr>
        <w:spacing w:after="0"/>
        <w:rPr>
          <w:rFonts w:cs="Arial"/>
        </w:rPr>
      </w:pPr>
    </w:p>
    <w:p w:rsidR="002E207A" w:rsidRPr="004021F3" w:rsidRDefault="002E207A" w:rsidP="004021F3">
      <w:r w:rsidRPr="004021F3">
        <w:t>Data governance refers to the overall management of the availability, usability, integrity, and security of data. A sound data governance arrangement must be comprehensive and include a governing body, a defined set of procedures, and a plan to execute those procedures. Governance arrangements will exist at all levels within the sector and must be able to demonstrate their compliance against all required standards and community expectations.</w:t>
      </w:r>
    </w:p>
    <w:p w:rsidR="002E207A" w:rsidRPr="00CC2C80" w:rsidRDefault="002E207A" w:rsidP="00A04E07">
      <w:pPr>
        <w:spacing w:before="120"/>
        <w:rPr>
          <w:rFonts w:cs="Arial"/>
        </w:rPr>
      </w:pPr>
      <w:r w:rsidRPr="00CC2C80">
        <w:rPr>
          <w:rFonts w:cs="Arial"/>
        </w:rPr>
        <w:t>The governance framework for data c</w:t>
      </w:r>
      <w:r>
        <w:rPr>
          <w:rFonts w:cs="Arial"/>
        </w:rPr>
        <w:t xml:space="preserve">ollection and management </w:t>
      </w:r>
      <w:r w:rsidRPr="00CC2C80">
        <w:rPr>
          <w:rFonts w:cs="Arial"/>
        </w:rPr>
        <w:t xml:space="preserve">at the national level needs to be able to guarantee and demonstrate: </w:t>
      </w:r>
    </w:p>
    <w:p w:rsidR="002E207A" w:rsidRDefault="002E207A" w:rsidP="002C4F35">
      <w:pPr>
        <w:pStyle w:val="ListParagraph"/>
        <w:numPr>
          <w:ilvl w:val="0"/>
          <w:numId w:val="23"/>
        </w:numPr>
        <w:spacing w:after="0"/>
      </w:pPr>
      <w:r w:rsidRPr="009B7C9A">
        <w:t xml:space="preserve">Data will be shared, open and managed as an asset under </w:t>
      </w:r>
      <w:r>
        <w:t>documented</w:t>
      </w:r>
      <w:r w:rsidRPr="009B7C9A">
        <w:t xml:space="preserve"> governance process</w:t>
      </w:r>
      <w:r>
        <w:t>es (including ethics approval processes)</w:t>
      </w:r>
    </w:p>
    <w:p w:rsidR="002E207A" w:rsidRPr="009B7C9A" w:rsidRDefault="002E207A" w:rsidP="002C4F35">
      <w:pPr>
        <w:pStyle w:val="ListParagraph"/>
        <w:numPr>
          <w:ilvl w:val="0"/>
          <w:numId w:val="23"/>
        </w:numPr>
        <w:spacing w:after="0"/>
        <w:rPr>
          <w:lang w:val="en-US"/>
        </w:rPr>
      </w:pPr>
      <w:r w:rsidRPr="009B7C9A">
        <w:t>Data and information will be released under strict guidelines to ensure compliance</w:t>
      </w:r>
    </w:p>
    <w:p w:rsidR="002E207A" w:rsidRDefault="002E207A" w:rsidP="002C4F35">
      <w:pPr>
        <w:pStyle w:val="ListParagraph"/>
        <w:numPr>
          <w:ilvl w:val="0"/>
          <w:numId w:val="23"/>
        </w:numPr>
        <w:spacing w:after="0"/>
      </w:pPr>
      <w:r w:rsidRPr="009B7C9A">
        <w:t>Data and info</w:t>
      </w:r>
      <w:r>
        <w:t xml:space="preserve">rmation will be delivered to allow access, release </w:t>
      </w:r>
      <w:r w:rsidRPr="009B7C9A">
        <w:t>and control</w:t>
      </w:r>
    </w:p>
    <w:p w:rsidR="002E207A" w:rsidRDefault="002E207A" w:rsidP="002C4F35">
      <w:pPr>
        <w:pStyle w:val="ListParagraph"/>
        <w:numPr>
          <w:ilvl w:val="0"/>
          <w:numId w:val="23"/>
        </w:numPr>
        <w:spacing w:after="0"/>
      </w:pPr>
      <w:r w:rsidRPr="009B7C9A">
        <w:t>Data and information will be auditable</w:t>
      </w:r>
      <w:r>
        <w:t xml:space="preserve"> and ensure accountability</w:t>
      </w:r>
    </w:p>
    <w:p w:rsidR="002E207A" w:rsidRDefault="002E207A" w:rsidP="002C4F35">
      <w:pPr>
        <w:pStyle w:val="ListParagraph"/>
        <w:numPr>
          <w:ilvl w:val="0"/>
          <w:numId w:val="23"/>
        </w:numPr>
        <w:spacing w:after="0"/>
      </w:pPr>
      <w:r w:rsidRPr="009B7C9A">
        <w:t xml:space="preserve">Data and Information roles and responsibilities </w:t>
      </w:r>
      <w:r>
        <w:t>will be defined and published</w:t>
      </w:r>
    </w:p>
    <w:p w:rsidR="002E207A" w:rsidRPr="009B7C9A" w:rsidRDefault="002E207A" w:rsidP="002C4F35">
      <w:pPr>
        <w:pStyle w:val="ListParagraph"/>
        <w:numPr>
          <w:ilvl w:val="0"/>
          <w:numId w:val="23"/>
        </w:numPr>
        <w:spacing w:after="0"/>
        <w:rPr>
          <w:lang w:val="en-US"/>
        </w:rPr>
      </w:pPr>
      <w:r w:rsidRPr="009B7C9A">
        <w:t>Data will be supported by data dictionaries, meta data and ensure a  high quality data standard</w:t>
      </w:r>
    </w:p>
    <w:p w:rsidR="002E207A" w:rsidRDefault="002E207A" w:rsidP="002C4F35">
      <w:pPr>
        <w:pStyle w:val="BodyText3"/>
        <w:numPr>
          <w:ilvl w:val="0"/>
          <w:numId w:val="23"/>
        </w:numPr>
        <w:spacing w:after="0"/>
        <w:rPr>
          <w:rFonts w:ascii="Calibri" w:hAnsi="Calibri" w:cs="Calibri"/>
          <w:sz w:val="22"/>
          <w:szCs w:val="22"/>
        </w:rPr>
      </w:pPr>
      <w:r w:rsidRPr="002C4F35">
        <w:rPr>
          <w:rFonts w:ascii="Calibri" w:hAnsi="Calibri" w:cs="Calibri"/>
          <w:sz w:val="22"/>
          <w:szCs w:val="22"/>
        </w:rPr>
        <w:t>Obligations and expectations for external stakeholder</w:t>
      </w:r>
      <w:r>
        <w:rPr>
          <w:rFonts w:ascii="Calibri" w:hAnsi="Calibri" w:cs="Calibri"/>
          <w:sz w:val="22"/>
          <w:szCs w:val="22"/>
        </w:rPr>
        <w:t>s</w:t>
      </w:r>
      <w:r w:rsidRPr="002C4F35">
        <w:rPr>
          <w:rFonts w:ascii="Calibri" w:hAnsi="Calibri" w:cs="Calibri"/>
          <w:sz w:val="22"/>
          <w:szCs w:val="22"/>
        </w:rPr>
        <w:t xml:space="preserve"> data reporting are managed</w:t>
      </w:r>
    </w:p>
    <w:p w:rsidR="002E207A" w:rsidRPr="00DD49F4" w:rsidRDefault="002E207A" w:rsidP="00BD36A3">
      <w:pPr>
        <w:pStyle w:val="BodyText3"/>
        <w:spacing w:after="0"/>
        <w:ind w:left="720"/>
        <w:rPr>
          <w:rFonts w:ascii="Calibri" w:hAnsi="Calibri" w:cs="Calibri"/>
          <w:sz w:val="22"/>
          <w:szCs w:val="22"/>
        </w:rPr>
      </w:pPr>
    </w:p>
    <w:tbl>
      <w:tblPr>
        <w:tblW w:w="4945" w:type="pct"/>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57" w:type="dxa"/>
          <w:bottom w:w="57" w:type="dxa"/>
        </w:tblCellMar>
        <w:tblLook w:val="00A0" w:firstRow="1" w:lastRow="0" w:firstColumn="1" w:lastColumn="0" w:noHBand="0" w:noVBand="0"/>
      </w:tblPr>
      <w:tblGrid>
        <w:gridCol w:w="4613"/>
        <w:gridCol w:w="4717"/>
      </w:tblGrid>
      <w:tr w:rsidR="002E207A" w:rsidTr="00391D4F">
        <w:tc>
          <w:tcPr>
            <w:tcW w:w="2472" w:type="pct"/>
            <w:tcBorders>
              <w:top w:val="single" w:sz="8" w:space="0" w:color="C00000"/>
              <w:left w:val="nil"/>
              <w:bottom w:val="single" w:sz="8" w:space="0" w:color="C00000"/>
              <w:right w:val="nil"/>
            </w:tcBorders>
            <w:shd w:val="clear" w:color="auto" w:fill="FFFFFF"/>
            <w:vAlign w:val="center"/>
          </w:tcPr>
          <w:p w:rsidR="002E207A" w:rsidRPr="00391D4F" w:rsidRDefault="002E207A" w:rsidP="00017DEA">
            <w:pPr>
              <w:contextualSpacing/>
              <w:rPr>
                <w:b/>
                <w:color w:val="C00000"/>
              </w:rPr>
            </w:pPr>
            <w:r w:rsidRPr="00391D4F">
              <w:rPr>
                <w:b/>
                <w:color w:val="C00000"/>
              </w:rPr>
              <w:t>Desired Outcome</w:t>
            </w:r>
          </w:p>
        </w:tc>
        <w:tc>
          <w:tcPr>
            <w:tcW w:w="2528" w:type="pct"/>
            <w:tcBorders>
              <w:top w:val="single" w:sz="8" w:space="0" w:color="C00000"/>
              <w:left w:val="nil"/>
              <w:bottom w:val="single" w:sz="8" w:space="0" w:color="C00000"/>
              <w:right w:val="nil"/>
            </w:tcBorders>
            <w:shd w:val="clear" w:color="auto" w:fill="FFFFFF"/>
            <w:vAlign w:val="center"/>
          </w:tcPr>
          <w:p w:rsidR="002E207A" w:rsidRPr="00391D4F" w:rsidRDefault="002E207A" w:rsidP="00017DEA">
            <w:pPr>
              <w:contextualSpacing/>
              <w:rPr>
                <w:b/>
                <w:color w:val="C00000"/>
              </w:rPr>
            </w:pPr>
            <w:r w:rsidRPr="00391D4F">
              <w:rPr>
                <w:b/>
                <w:color w:val="C00000"/>
              </w:rPr>
              <w:t>Key Strategies</w:t>
            </w:r>
          </w:p>
        </w:tc>
      </w:tr>
      <w:tr w:rsidR="002E207A" w:rsidTr="00391D4F">
        <w:tc>
          <w:tcPr>
            <w:tcW w:w="2472" w:type="pct"/>
            <w:shd w:val="clear" w:color="auto" w:fill="F2F2F2"/>
            <w:vAlign w:val="center"/>
          </w:tcPr>
          <w:p w:rsidR="002E207A" w:rsidRDefault="002E207A" w:rsidP="00391D4F">
            <w:pPr>
              <w:spacing w:before="120" w:after="120"/>
              <w:contextualSpacing/>
            </w:pPr>
            <w:r w:rsidRPr="00391D4F">
              <w:rPr>
                <w:color w:val="000000"/>
              </w:rPr>
              <w:t>2.1 Awareness among sector stakeholders of the requirements of data governance</w:t>
            </w:r>
          </w:p>
        </w:tc>
        <w:tc>
          <w:tcPr>
            <w:tcW w:w="2528" w:type="pct"/>
            <w:shd w:val="clear" w:color="auto" w:fill="F2F2F2"/>
            <w:vAlign w:val="center"/>
          </w:tcPr>
          <w:p w:rsidR="002E207A" w:rsidRDefault="002E207A" w:rsidP="00391D4F">
            <w:pPr>
              <w:spacing w:before="120" w:after="120"/>
              <w:contextualSpacing/>
              <w:rPr>
                <w:color w:val="000000"/>
              </w:rPr>
            </w:pPr>
            <w:r w:rsidRPr="00391D4F">
              <w:rPr>
                <w:color w:val="000000"/>
              </w:rPr>
              <w:t>2.1.1 The NBA will work with key stakeholders to develop, maintain and disseminate  exemplar policies, procedures and practices for the blood sector, to support data governance and compliance (2013</w:t>
            </w:r>
            <w:r w:rsidRPr="00391D4F">
              <w:rPr>
                <w:color w:val="000000"/>
              </w:rPr>
              <w:noBreakHyphen/>
              <w:t>16)</w:t>
            </w:r>
          </w:p>
          <w:p w:rsidR="00A25195" w:rsidRDefault="00A25195" w:rsidP="00391D4F">
            <w:pPr>
              <w:spacing w:before="120" w:after="120"/>
              <w:contextualSpacing/>
            </w:pPr>
          </w:p>
        </w:tc>
      </w:tr>
      <w:tr w:rsidR="002E207A" w:rsidTr="00391D4F">
        <w:tc>
          <w:tcPr>
            <w:tcW w:w="2472" w:type="pct"/>
            <w:tcBorders>
              <w:top w:val="nil"/>
              <w:left w:val="nil"/>
              <w:bottom w:val="nil"/>
              <w:right w:val="nil"/>
            </w:tcBorders>
            <w:shd w:val="clear" w:color="auto" w:fill="FFFFFF"/>
            <w:vAlign w:val="center"/>
          </w:tcPr>
          <w:p w:rsidR="002E207A" w:rsidRDefault="009D71F0" w:rsidP="00071BB8">
            <w:pPr>
              <w:spacing w:before="120" w:after="120"/>
              <w:contextualSpacing/>
            </w:pPr>
            <w:r w:rsidRPr="00391D4F">
              <w:rPr>
                <w:color w:val="000000"/>
              </w:rPr>
              <w:t>2.</w:t>
            </w:r>
            <w:r w:rsidR="00071BB8">
              <w:rPr>
                <w:color w:val="000000"/>
              </w:rPr>
              <w:t>2</w:t>
            </w:r>
            <w:r w:rsidRPr="00391D4F">
              <w:rPr>
                <w:color w:val="000000"/>
              </w:rPr>
              <w:t xml:space="preserve"> Excellence in data governance and information management through sharing and publication of expectations</w:t>
            </w:r>
          </w:p>
        </w:tc>
        <w:tc>
          <w:tcPr>
            <w:tcW w:w="2528" w:type="pct"/>
            <w:tcBorders>
              <w:top w:val="nil"/>
              <w:left w:val="nil"/>
              <w:bottom w:val="nil"/>
              <w:right w:val="nil"/>
            </w:tcBorders>
            <w:shd w:val="clear" w:color="auto" w:fill="FFFFFF"/>
            <w:vAlign w:val="center"/>
          </w:tcPr>
          <w:p w:rsidR="009D71F0" w:rsidRPr="00391D4F" w:rsidRDefault="009D71F0" w:rsidP="009D71F0">
            <w:pPr>
              <w:contextualSpacing/>
              <w:rPr>
                <w:color w:val="000000"/>
              </w:rPr>
            </w:pPr>
            <w:r w:rsidRPr="00391D4F">
              <w:rPr>
                <w:color w:val="000000"/>
              </w:rPr>
              <w:t>2.</w:t>
            </w:r>
            <w:r w:rsidR="00071BB8">
              <w:rPr>
                <w:color w:val="000000"/>
              </w:rPr>
              <w:t>2</w:t>
            </w:r>
            <w:r w:rsidRPr="00391D4F">
              <w:rPr>
                <w:color w:val="000000"/>
              </w:rPr>
              <w:t>.1 Publish the National Blood Sector Data and Information Governance Framework</w:t>
            </w:r>
            <w:r>
              <w:rPr>
                <w:color w:val="000000"/>
              </w:rPr>
              <w:t xml:space="preserve">, including a set of principles to determine data standards and the framework which they can be developed and </w:t>
            </w:r>
            <w:r w:rsidR="00A25195">
              <w:rPr>
                <w:color w:val="000000"/>
              </w:rPr>
              <w:t xml:space="preserve">assessed </w:t>
            </w:r>
            <w:r w:rsidRPr="00391D4F">
              <w:rPr>
                <w:color w:val="000000"/>
              </w:rPr>
              <w:t>(2013</w:t>
            </w:r>
            <w:r>
              <w:rPr>
                <w:color w:val="000000"/>
              </w:rPr>
              <w:t>-14</w:t>
            </w:r>
            <w:r w:rsidRPr="00391D4F">
              <w:rPr>
                <w:color w:val="000000"/>
              </w:rPr>
              <w:t>)</w:t>
            </w:r>
          </w:p>
          <w:p w:rsidR="009D71F0" w:rsidRPr="00391D4F" w:rsidRDefault="009D71F0" w:rsidP="009D71F0">
            <w:pPr>
              <w:spacing w:before="120" w:after="120"/>
              <w:contextualSpacing/>
              <w:rPr>
                <w:color w:val="000000"/>
              </w:rPr>
            </w:pPr>
          </w:p>
          <w:p w:rsidR="002E207A" w:rsidRDefault="009D71F0" w:rsidP="009D71F0">
            <w:pPr>
              <w:spacing w:before="120" w:after="120"/>
              <w:contextualSpacing/>
            </w:pPr>
            <w:r w:rsidRPr="00391D4F">
              <w:rPr>
                <w:color w:val="000000"/>
              </w:rPr>
              <w:t>2.</w:t>
            </w:r>
            <w:r w:rsidR="00071BB8">
              <w:rPr>
                <w:color w:val="000000"/>
              </w:rPr>
              <w:t>2</w:t>
            </w:r>
            <w:r w:rsidRPr="00391D4F">
              <w:rPr>
                <w:color w:val="000000"/>
              </w:rPr>
              <w:t>.2 Document blood sector data governance frameworks</w:t>
            </w:r>
            <w:r>
              <w:rPr>
                <w:color w:val="000000"/>
              </w:rPr>
              <w:t xml:space="preserve"> and how they link to the NBA</w:t>
            </w:r>
            <w:r w:rsidRPr="00391D4F">
              <w:rPr>
                <w:color w:val="000000"/>
              </w:rPr>
              <w:t>, ensuring that they are accountable and open to external review (2013</w:t>
            </w:r>
            <w:r w:rsidRPr="00391D4F">
              <w:rPr>
                <w:color w:val="000000"/>
              </w:rPr>
              <w:noBreakHyphen/>
              <w:t>14)</w:t>
            </w:r>
          </w:p>
          <w:p w:rsidR="002E207A" w:rsidRDefault="002E207A" w:rsidP="00D93AC9">
            <w:pPr>
              <w:spacing w:before="120" w:after="120"/>
              <w:contextualSpacing/>
            </w:pPr>
          </w:p>
        </w:tc>
      </w:tr>
    </w:tbl>
    <w:p w:rsidR="002E207A" w:rsidRDefault="002E207A" w:rsidP="00A04E07">
      <w:pPr>
        <w:pStyle w:val="Heading3"/>
      </w:pPr>
    </w:p>
    <w:p w:rsidR="002E207A" w:rsidRDefault="002E207A" w:rsidP="00A04E07">
      <w:r>
        <w:br w:type="page"/>
      </w:r>
    </w:p>
    <w:p w:rsidR="002E207A" w:rsidRDefault="006733AD" w:rsidP="00A04E07">
      <w:pPr>
        <w:pStyle w:val="NoSpacing"/>
      </w:pPr>
      <w:r>
        <w:rPr>
          <w:noProof/>
          <w:lang w:val="en-AU" w:eastAsia="en-AU"/>
        </w:rPr>
        <w:lastRenderedPageBreak/>
        <mc:AlternateContent>
          <mc:Choice Requires="wps">
            <w:drawing>
              <wp:anchor distT="0" distB="0" distL="114300" distR="114300" simplePos="0" relativeHeight="251662336" behindDoc="0" locked="0" layoutInCell="1" allowOverlap="1" wp14:anchorId="3AD90CF3" wp14:editId="33D295B4">
                <wp:simplePos x="0" y="0"/>
                <wp:positionH relativeFrom="page">
                  <wp:posOffset>0</wp:posOffset>
                </wp:positionH>
                <wp:positionV relativeFrom="page">
                  <wp:posOffset>756285</wp:posOffset>
                </wp:positionV>
                <wp:extent cx="4669155" cy="741680"/>
                <wp:effectExtent l="9525" t="13335" r="7620" b="6985"/>
                <wp:wrapTopAndBottom/>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9155" cy="741680"/>
                        </a:xfrm>
                        <a:prstGeom prst="rect">
                          <a:avLst/>
                        </a:prstGeom>
                        <a:solidFill>
                          <a:srgbClr val="005374"/>
                        </a:solidFill>
                        <a:ln w="9525">
                          <a:solidFill>
                            <a:srgbClr val="FFFFFF"/>
                          </a:solidFill>
                          <a:miter lim="800000"/>
                          <a:headEnd/>
                          <a:tailEnd/>
                        </a:ln>
                      </wps:spPr>
                      <wps:txbx>
                        <w:txbxContent>
                          <w:p w:rsidR="007649D7" w:rsidRPr="00391D4F" w:rsidRDefault="007649D7" w:rsidP="00A04E07">
                            <w:pPr>
                              <w:spacing w:after="0"/>
                              <w:ind w:left="993" w:hanging="426"/>
                              <w:rPr>
                                <w:color w:val="FFFFFF"/>
                                <w:sz w:val="28"/>
                                <w:szCs w:val="28"/>
                              </w:rPr>
                            </w:pPr>
                            <w:r w:rsidRPr="00391D4F">
                              <w:rPr>
                                <w:color w:val="FFFFFF"/>
                                <w:sz w:val="48"/>
                                <w:szCs w:val="48"/>
                              </w:rPr>
                              <w:t>3.</w:t>
                            </w:r>
                            <w:r w:rsidRPr="00391D4F">
                              <w:rPr>
                                <w:color w:val="FFFFFF"/>
                                <w:sz w:val="28"/>
                                <w:szCs w:val="28"/>
                              </w:rPr>
                              <w:t xml:space="preserve"> Promote a standardised approach to data sets and system capabilities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margin-left:0;margin-top:59.55pt;width:367.65pt;height:58.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" fillcolor="#005374" strokecolor="white">
                <v:textbox>
                  <w:txbxContent>
                    <w:p w:rsidR="007649D7" w:rsidRPr="00391D4F" w:rsidRDefault="007649D7" w:rsidP="00A04E07">
                      <w:pPr>
                        <w:spacing w:after="0"/>
                        <w:ind w:left="993" w:hanging="426"/>
                        <w:rPr>
                          <w:color w:val="FFFFFF"/>
                          <w:sz w:val="28"/>
                          <w:szCs w:val="28"/>
                        </w:rPr>
                      </w:pPr>
                      <w:r w:rsidRPr="00391D4F">
                        <w:rPr>
                          <w:color w:val="FFFFFF"/>
                          <w:sz w:val="48"/>
                          <w:szCs w:val="48"/>
                        </w:rPr>
                        <w:t>3.</w:t>
                      </w:r>
                      <w:r w:rsidRPr="00391D4F">
                        <w:rPr>
                          <w:color w:val="FFFFFF"/>
                          <w:sz w:val="28"/>
                          <w:szCs w:val="28"/>
                        </w:rPr>
                        <w:t xml:space="preserve"> Promote a standardised approach to data sets and system capabilities</w:t>
                      </w:r>
                    </w:p>
                  </w:txbxContent>
                </v:textbox>
                <w10:wrap type="topAndBottom" anchorx="page" anchory="page"/>
              </v:shape>
            </w:pict>
          </mc:Fallback>
        </mc:AlternateContent>
      </w:r>
    </w:p>
    <w:p w:rsidR="002E207A" w:rsidRDefault="002E207A" w:rsidP="00A04E07">
      <w:pPr>
        <w:rPr>
          <w:rFonts w:cs="Arial"/>
        </w:rPr>
      </w:pPr>
      <w:r w:rsidRPr="004134F5">
        <w:rPr>
          <w:rFonts w:cs="Arial"/>
        </w:rPr>
        <w:t xml:space="preserve">As the ability to link widely disparate data sources becomes technologically possible, the need to standardise the way </w:t>
      </w:r>
      <w:r>
        <w:rPr>
          <w:rFonts w:cs="Arial"/>
        </w:rPr>
        <w:t>in which</w:t>
      </w:r>
      <w:r w:rsidRPr="004134F5">
        <w:rPr>
          <w:rFonts w:cs="Arial"/>
        </w:rPr>
        <w:t xml:space="preserve"> data is created, captured, encoded and stored becomes more important.</w:t>
      </w:r>
      <w:r>
        <w:rPr>
          <w:rFonts w:cs="Arial"/>
        </w:rPr>
        <w:t xml:space="preserve"> </w:t>
      </w:r>
      <w:r w:rsidRPr="004134F5">
        <w:rPr>
          <w:rFonts w:cs="Arial"/>
        </w:rPr>
        <w:t xml:space="preserve">While health </w:t>
      </w:r>
      <w:r>
        <w:rPr>
          <w:rFonts w:cs="Arial"/>
        </w:rPr>
        <w:t>sector</w:t>
      </w:r>
      <w:r>
        <w:rPr>
          <w:rFonts w:cs="Arial"/>
        </w:rPr>
        <w:noBreakHyphen/>
      </w:r>
      <w:r w:rsidRPr="004134F5">
        <w:rPr>
          <w:rFonts w:cs="Arial"/>
        </w:rPr>
        <w:t>wide standardisation</w:t>
      </w:r>
      <w:r>
        <w:rPr>
          <w:rFonts w:cs="Arial"/>
        </w:rPr>
        <w:t xml:space="preserve"> is in its infancy, some </w:t>
      </w:r>
      <w:r w:rsidRPr="004134F5">
        <w:rPr>
          <w:rFonts w:cs="Arial"/>
        </w:rPr>
        <w:t xml:space="preserve">initiatives have made excellent progress and have laid </w:t>
      </w:r>
      <w:r>
        <w:rPr>
          <w:rFonts w:cs="Arial"/>
        </w:rPr>
        <w:t>important ground</w:t>
      </w:r>
      <w:r w:rsidRPr="004134F5">
        <w:rPr>
          <w:rFonts w:cs="Arial"/>
        </w:rPr>
        <w:t>work for standardisation.</w:t>
      </w:r>
    </w:p>
    <w:p w:rsidR="002E207A" w:rsidRPr="00E17F04" w:rsidRDefault="002E207A" w:rsidP="00E17F04">
      <w:pPr>
        <w:rPr>
          <w:rFonts w:cs="Arial"/>
        </w:rPr>
      </w:pPr>
      <w:r>
        <w:rPr>
          <w:rFonts w:cs="Arial"/>
        </w:rPr>
        <w:t>The NBA will work with the</w:t>
      </w:r>
      <w:r w:rsidRPr="00E17F04">
        <w:rPr>
          <w:rFonts w:cs="Arial"/>
        </w:rPr>
        <w:t xml:space="preserve"> blood sector </w:t>
      </w:r>
      <w:r>
        <w:rPr>
          <w:rFonts w:cs="Arial"/>
        </w:rPr>
        <w:t>to</w:t>
      </w:r>
      <w:r w:rsidRPr="00E17F04">
        <w:rPr>
          <w:rFonts w:cs="Arial"/>
        </w:rPr>
        <w:t xml:space="preserve"> </w:t>
      </w:r>
      <w:r>
        <w:rPr>
          <w:rFonts w:cs="Arial"/>
        </w:rPr>
        <w:t xml:space="preserve">ensure </w:t>
      </w:r>
      <w:r w:rsidRPr="00E17F04">
        <w:rPr>
          <w:rFonts w:cs="Arial"/>
        </w:rPr>
        <w:t xml:space="preserve">integration </w:t>
      </w:r>
      <w:r>
        <w:rPr>
          <w:rFonts w:cs="Arial"/>
        </w:rPr>
        <w:t xml:space="preserve">with </w:t>
      </w:r>
      <w:r w:rsidRPr="00E17F04">
        <w:rPr>
          <w:rFonts w:cs="Arial"/>
        </w:rPr>
        <w:t>the National Health Reform</w:t>
      </w:r>
      <w:r>
        <w:rPr>
          <w:rFonts w:cs="Arial"/>
        </w:rPr>
        <w:t>s</w:t>
      </w:r>
      <w:r w:rsidRPr="00E17F04">
        <w:rPr>
          <w:rFonts w:cs="Arial"/>
        </w:rPr>
        <w:t>, including alignment with the National Health Performance Framework</w:t>
      </w:r>
      <w:r>
        <w:rPr>
          <w:rFonts w:cs="Arial"/>
        </w:rPr>
        <w:t xml:space="preserve"> to achieve standardisation</w:t>
      </w:r>
      <w:r w:rsidRPr="00E17F04">
        <w:rPr>
          <w:rFonts w:cs="Arial"/>
        </w:rPr>
        <w:t>.</w:t>
      </w:r>
    </w:p>
    <w:tbl>
      <w:tblPr>
        <w:tblW w:w="4945" w:type="pct"/>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57" w:type="dxa"/>
          <w:bottom w:w="57" w:type="dxa"/>
        </w:tblCellMar>
        <w:tblLook w:val="00A0" w:firstRow="1" w:lastRow="0" w:firstColumn="1" w:lastColumn="0" w:noHBand="0" w:noVBand="0"/>
      </w:tblPr>
      <w:tblGrid>
        <w:gridCol w:w="4613"/>
        <w:gridCol w:w="4717"/>
      </w:tblGrid>
      <w:tr w:rsidR="002E207A" w:rsidTr="007649D7">
        <w:trPr>
          <w:tblHeader/>
        </w:trPr>
        <w:tc>
          <w:tcPr>
            <w:tcW w:w="2472" w:type="pct"/>
            <w:tcBorders>
              <w:top w:val="single" w:sz="8" w:space="0" w:color="C00000"/>
              <w:left w:val="nil"/>
              <w:bottom w:val="single" w:sz="8" w:space="0" w:color="C00000"/>
              <w:right w:val="nil"/>
            </w:tcBorders>
            <w:shd w:val="clear" w:color="auto" w:fill="FFFFFF"/>
            <w:vAlign w:val="center"/>
          </w:tcPr>
          <w:p w:rsidR="002E207A" w:rsidRPr="00391D4F" w:rsidRDefault="002E207A" w:rsidP="00017DEA">
            <w:pPr>
              <w:contextualSpacing/>
              <w:rPr>
                <w:b/>
                <w:color w:val="C00000"/>
              </w:rPr>
            </w:pPr>
            <w:r w:rsidRPr="00391D4F">
              <w:rPr>
                <w:b/>
                <w:color w:val="C00000"/>
              </w:rPr>
              <w:t>Desired Outcome</w:t>
            </w:r>
          </w:p>
        </w:tc>
        <w:tc>
          <w:tcPr>
            <w:tcW w:w="2528" w:type="pct"/>
            <w:tcBorders>
              <w:top w:val="single" w:sz="8" w:space="0" w:color="C00000"/>
              <w:left w:val="nil"/>
              <w:bottom w:val="single" w:sz="8" w:space="0" w:color="C00000"/>
              <w:right w:val="nil"/>
            </w:tcBorders>
            <w:shd w:val="clear" w:color="auto" w:fill="FFFFFF"/>
            <w:vAlign w:val="center"/>
          </w:tcPr>
          <w:p w:rsidR="002E207A" w:rsidRPr="00391D4F" w:rsidRDefault="002E207A" w:rsidP="00017DEA">
            <w:pPr>
              <w:contextualSpacing/>
              <w:rPr>
                <w:b/>
                <w:color w:val="C00000"/>
              </w:rPr>
            </w:pPr>
            <w:r w:rsidRPr="00391D4F">
              <w:rPr>
                <w:b/>
                <w:color w:val="C00000"/>
              </w:rPr>
              <w:t>Key Strategies</w:t>
            </w:r>
          </w:p>
        </w:tc>
      </w:tr>
      <w:tr w:rsidR="002E207A" w:rsidTr="00391D4F">
        <w:tc>
          <w:tcPr>
            <w:tcW w:w="2472" w:type="pct"/>
            <w:shd w:val="clear" w:color="auto" w:fill="F2F2F2"/>
            <w:vAlign w:val="center"/>
          </w:tcPr>
          <w:p w:rsidR="002E207A" w:rsidRDefault="002E207A" w:rsidP="00391D4F">
            <w:pPr>
              <w:spacing w:before="240"/>
              <w:contextualSpacing/>
            </w:pPr>
            <w:r w:rsidRPr="00391D4F">
              <w:rPr>
                <w:color w:val="000000"/>
              </w:rPr>
              <w:t xml:space="preserve">3.1 Publish the agreed Blood Sector Performance Scorecard </w:t>
            </w:r>
          </w:p>
          <w:p w:rsidR="002E207A" w:rsidRDefault="002E207A" w:rsidP="00391D4F">
            <w:pPr>
              <w:spacing w:before="240"/>
              <w:contextualSpacing/>
            </w:pPr>
          </w:p>
          <w:p w:rsidR="002E207A" w:rsidRPr="00391D4F" w:rsidRDefault="002E207A" w:rsidP="00391D4F">
            <w:pPr>
              <w:spacing w:before="240"/>
              <w:contextualSpacing/>
              <w:rPr>
                <w:i/>
                <w:color w:val="000000"/>
              </w:rPr>
            </w:pPr>
            <w:r w:rsidRPr="00391D4F">
              <w:rPr>
                <w:i/>
                <w:color w:val="000000"/>
                <w:sz w:val="20"/>
              </w:rPr>
              <w:t>Refer to Blood Sector Performance Scorecard below (</w:t>
            </w:r>
            <w:r w:rsidR="005E3CB0">
              <w:fldChar w:fldCharType="begin"/>
            </w:r>
            <w:r w:rsidR="005E3CB0">
              <w:instrText xml:space="preserve"> REF _Ref341002252 \h  \* MERGEFORMAT </w:instrText>
            </w:r>
            <w:r w:rsidR="005E3CB0">
              <w:fldChar w:fldCharType="separate"/>
            </w:r>
            <w:r w:rsidR="00C82CE1" w:rsidRPr="00C82CE1">
              <w:rPr>
                <w:i/>
                <w:color w:val="000000"/>
                <w:sz w:val="20"/>
              </w:rPr>
              <w:t>Table 2</w:t>
            </w:r>
            <w:r w:rsidR="005E3CB0">
              <w:fldChar w:fldCharType="end"/>
            </w:r>
            <w:r w:rsidRPr="00391D4F">
              <w:rPr>
                <w:i/>
                <w:color w:val="000000"/>
                <w:sz w:val="20"/>
              </w:rPr>
              <w:t xml:space="preserve"> on page </w:t>
            </w:r>
            <w:r w:rsidRPr="00391D4F">
              <w:rPr>
                <w:i/>
                <w:color w:val="000000"/>
                <w:sz w:val="20"/>
              </w:rPr>
              <w:fldChar w:fldCharType="begin"/>
            </w:r>
            <w:r w:rsidRPr="00391D4F">
              <w:rPr>
                <w:i/>
                <w:color w:val="000000"/>
                <w:sz w:val="20"/>
              </w:rPr>
              <w:instrText xml:space="preserve"> PAGEREF _Ref341002266 \h </w:instrText>
            </w:r>
            <w:r w:rsidRPr="00391D4F">
              <w:rPr>
                <w:i/>
                <w:color w:val="000000"/>
                <w:sz w:val="20"/>
              </w:rPr>
            </w:r>
            <w:r w:rsidRPr="00391D4F">
              <w:rPr>
                <w:i/>
                <w:color w:val="000000"/>
                <w:sz w:val="20"/>
              </w:rPr>
              <w:fldChar w:fldCharType="separate"/>
            </w:r>
            <w:r w:rsidR="00C82CE1">
              <w:rPr>
                <w:i/>
                <w:noProof/>
                <w:color w:val="000000"/>
                <w:sz w:val="20"/>
              </w:rPr>
              <w:t>14</w:t>
            </w:r>
            <w:r w:rsidRPr="00391D4F">
              <w:rPr>
                <w:i/>
                <w:color w:val="000000"/>
                <w:sz w:val="20"/>
              </w:rPr>
              <w:fldChar w:fldCharType="end"/>
            </w:r>
            <w:r w:rsidRPr="00391D4F">
              <w:rPr>
                <w:i/>
                <w:color w:val="000000"/>
                <w:sz w:val="20"/>
              </w:rPr>
              <w:t xml:space="preserve">, to </w:t>
            </w:r>
            <w:r w:rsidR="005E3CB0">
              <w:fldChar w:fldCharType="begin"/>
            </w:r>
            <w:r w:rsidR="005E3CB0">
              <w:instrText xml:space="preserve"> REF _Ref341002285 \h  \* MERGEFORMAT </w:instrText>
            </w:r>
            <w:r w:rsidR="005E3CB0">
              <w:fldChar w:fldCharType="separate"/>
            </w:r>
            <w:r w:rsidR="00C82CE1" w:rsidRPr="00C82CE1">
              <w:rPr>
                <w:i/>
                <w:color w:val="000000"/>
                <w:sz w:val="20"/>
              </w:rPr>
              <w:t>Table 5</w:t>
            </w:r>
            <w:r w:rsidR="005E3CB0">
              <w:fldChar w:fldCharType="end"/>
            </w:r>
            <w:r w:rsidRPr="00391D4F">
              <w:rPr>
                <w:i/>
                <w:color w:val="000000"/>
                <w:sz w:val="20"/>
              </w:rPr>
              <w:t xml:space="preserve"> on page </w:t>
            </w:r>
            <w:r w:rsidRPr="00391D4F">
              <w:rPr>
                <w:i/>
                <w:color w:val="000000"/>
                <w:sz w:val="20"/>
              </w:rPr>
              <w:fldChar w:fldCharType="begin"/>
            </w:r>
            <w:r w:rsidRPr="00391D4F">
              <w:rPr>
                <w:i/>
                <w:color w:val="000000"/>
                <w:sz w:val="20"/>
              </w:rPr>
              <w:instrText xml:space="preserve"> PAGEREF _Ref341002294 \h </w:instrText>
            </w:r>
            <w:r w:rsidRPr="00391D4F">
              <w:rPr>
                <w:i/>
                <w:color w:val="000000"/>
                <w:sz w:val="20"/>
              </w:rPr>
            </w:r>
            <w:r w:rsidRPr="00391D4F">
              <w:rPr>
                <w:i/>
                <w:color w:val="000000"/>
                <w:sz w:val="20"/>
              </w:rPr>
              <w:fldChar w:fldCharType="separate"/>
            </w:r>
            <w:r w:rsidR="00C82CE1">
              <w:rPr>
                <w:i/>
                <w:noProof/>
                <w:color w:val="000000"/>
                <w:sz w:val="20"/>
              </w:rPr>
              <w:t>17</w:t>
            </w:r>
            <w:r w:rsidRPr="00391D4F">
              <w:rPr>
                <w:i/>
                <w:color w:val="000000"/>
                <w:sz w:val="20"/>
              </w:rPr>
              <w:fldChar w:fldCharType="end"/>
            </w:r>
            <w:r w:rsidRPr="00391D4F">
              <w:rPr>
                <w:i/>
                <w:color w:val="000000"/>
                <w:sz w:val="20"/>
              </w:rPr>
              <w:t>).</w:t>
            </w:r>
          </w:p>
        </w:tc>
        <w:tc>
          <w:tcPr>
            <w:tcW w:w="2528" w:type="pct"/>
            <w:shd w:val="clear" w:color="auto" w:fill="F2F2F2"/>
            <w:vAlign w:val="center"/>
          </w:tcPr>
          <w:p w:rsidR="002E207A" w:rsidRDefault="002E207A" w:rsidP="00391D4F">
            <w:pPr>
              <w:spacing w:before="240"/>
              <w:contextualSpacing/>
            </w:pPr>
            <w:r w:rsidRPr="00391D4F">
              <w:rPr>
                <w:color w:val="000000"/>
              </w:rPr>
              <w:t xml:space="preserve">3.1.1 Publish endorsed blood sector performance scorecard that includes </w:t>
            </w:r>
            <w:r w:rsidR="00DC14A5">
              <w:rPr>
                <w:color w:val="000000"/>
              </w:rPr>
              <w:t xml:space="preserve">contract operational measures, </w:t>
            </w:r>
            <w:r w:rsidRPr="00391D4F">
              <w:rPr>
                <w:color w:val="000000"/>
              </w:rPr>
              <w:t xml:space="preserve">national measures and indicators for the use and management of blood and blood products </w:t>
            </w:r>
            <w:r w:rsidR="00810136">
              <w:t xml:space="preserve">as per </w:t>
            </w:r>
            <w:r w:rsidR="00D93AC9">
              <w:t xml:space="preserve">tables 3, 4 and 5. </w:t>
            </w:r>
            <w:r w:rsidR="00810136">
              <w:t xml:space="preserve"> </w:t>
            </w:r>
            <w:r w:rsidRPr="00391D4F">
              <w:rPr>
                <w:color w:val="000000"/>
              </w:rPr>
              <w:t>(201</w:t>
            </w:r>
            <w:r w:rsidR="00D93AC9">
              <w:rPr>
                <w:color w:val="000000"/>
              </w:rPr>
              <w:t>3</w:t>
            </w:r>
            <w:r w:rsidRPr="00391D4F">
              <w:rPr>
                <w:color w:val="000000"/>
              </w:rPr>
              <w:noBreakHyphen/>
              <w:t>1</w:t>
            </w:r>
            <w:r w:rsidR="00D93AC9">
              <w:rPr>
                <w:color w:val="000000"/>
              </w:rPr>
              <w:t>6</w:t>
            </w:r>
            <w:r w:rsidRPr="00391D4F">
              <w:rPr>
                <w:color w:val="000000"/>
              </w:rPr>
              <w:t>)</w:t>
            </w:r>
          </w:p>
          <w:p w:rsidR="002E207A" w:rsidRDefault="002E207A" w:rsidP="00391D4F">
            <w:pPr>
              <w:spacing w:before="240"/>
              <w:contextualSpacing/>
            </w:pPr>
          </w:p>
          <w:p w:rsidR="002E207A" w:rsidRDefault="002E207A" w:rsidP="00391D4F">
            <w:pPr>
              <w:spacing w:before="240"/>
              <w:contextualSpacing/>
              <w:rPr>
                <w:color w:val="000000"/>
              </w:rPr>
            </w:pPr>
            <w:r w:rsidRPr="00391D4F">
              <w:rPr>
                <w:color w:val="000000"/>
              </w:rPr>
              <w:t>3.1.2 Monitor and review the blood sector performance indicators to ensure they align with the National Health Performance Framework (2013</w:t>
            </w:r>
            <w:r w:rsidRPr="00391D4F">
              <w:rPr>
                <w:color w:val="000000"/>
              </w:rPr>
              <w:noBreakHyphen/>
              <w:t>16)</w:t>
            </w:r>
          </w:p>
          <w:p w:rsidR="00A25195" w:rsidRDefault="00A25195" w:rsidP="00391D4F">
            <w:pPr>
              <w:spacing w:before="240"/>
              <w:contextualSpacing/>
            </w:pPr>
          </w:p>
        </w:tc>
      </w:tr>
      <w:tr w:rsidR="002E207A" w:rsidTr="00391D4F">
        <w:tc>
          <w:tcPr>
            <w:tcW w:w="2472" w:type="pct"/>
            <w:tcBorders>
              <w:top w:val="nil"/>
              <w:left w:val="nil"/>
              <w:bottom w:val="nil"/>
              <w:right w:val="nil"/>
            </w:tcBorders>
            <w:shd w:val="clear" w:color="auto" w:fill="FFFFFF"/>
            <w:vAlign w:val="center"/>
          </w:tcPr>
          <w:p w:rsidR="002E207A" w:rsidRDefault="002E207A" w:rsidP="00391D4F">
            <w:pPr>
              <w:spacing w:before="240"/>
              <w:contextualSpacing/>
            </w:pPr>
            <w:r w:rsidRPr="00391D4F">
              <w:rPr>
                <w:color w:val="000000"/>
              </w:rPr>
              <w:t>3.2 Publish framework document to support development of specialist minimum data sets for the blood sector</w:t>
            </w:r>
          </w:p>
        </w:tc>
        <w:tc>
          <w:tcPr>
            <w:tcW w:w="2528" w:type="pct"/>
            <w:tcBorders>
              <w:top w:val="nil"/>
              <w:left w:val="nil"/>
              <w:bottom w:val="nil"/>
              <w:right w:val="nil"/>
            </w:tcBorders>
            <w:shd w:val="clear" w:color="auto" w:fill="FFFFFF"/>
            <w:vAlign w:val="center"/>
          </w:tcPr>
          <w:p w:rsidR="002E207A" w:rsidRDefault="002E207A" w:rsidP="00391D4F">
            <w:pPr>
              <w:spacing w:before="240"/>
              <w:contextualSpacing/>
              <w:rPr>
                <w:color w:val="000000"/>
              </w:rPr>
            </w:pPr>
            <w:r w:rsidRPr="00391D4F">
              <w:rPr>
                <w:color w:val="000000"/>
              </w:rPr>
              <w:t>3.2.1 Communicate blood sector development of data and information standards to all relevant stakeholders (2013</w:t>
            </w:r>
            <w:r w:rsidRPr="00391D4F">
              <w:rPr>
                <w:color w:val="000000"/>
              </w:rPr>
              <w:noBreakHyphen/>
              <w:t>14)</w:t>
            </w:r>
          </w:p>
          <w:p w:rsidR="00A25195" w:rsidRDefault="00A25195" w:rsidP="00391D4F">
            <w:pPr>
              <w:spacing w:before="240"/>
              <w:contextualSpacing/>
            </w:pPr>
          </w:p>
        </w:tc>
      </w:tr>
      <w:tr w:rsidR="002E207A" w:rsidTr="00391D4F">
        <w:tc>
          <w:tcPr>
            <w:tcW w:w="2472" w:type="pct"/>
            <w:shd w:val="clear" w:color="auto" w:fill="F2F2F2"/>
            <w:vAlign w:val="center"/>
          </w:tcPr>
          <w:p w:rsidR="002E207A" w:rsidRDefault="002E207A" w:rsidP="00391D4F">
            <w:pPr>
              <w:spacing w:before="240"/>
              <w:contextualSpacing/>
            </w:pPr>
            <w:r w:rsidRPr="00391D4F">
              <w:rPr>
                <w:color w:val="000000"/>
              </w:rPr>
              <w:t>3.3 Minimum data set specifications published that align with nationally authorised data dictionary definitions and the data principles for the sector</w:t>
            </w:r>
          </w:p>
          <w:p w:rsidR="002E207A" w:rsidRDefault="002E207A" w:rsidP="00391D4F">
            <w:pPr>
              <w:spacing w:before="240"/>
              <w:contextualSpacing/>
            </w:pPr>
          </w:p>
        </w:tc>
        <w:tc>
          <w:tcPr>
            <w:tcW w:w="2528" w:type="pct"/>
            <w:shd w:val="clear" w:color="auto" w:fill="F2F2F2"/>
            <w:vAlign w:val="center"/>
          </w:tcPr>
          <w:p w:rsidR="002E207A" w:rsidRPr="00391D4F" w:rsidRDefault="002E207A" w:rsidP="00391D4F">
            <w:pPr>
              <w:spacing w:before="240"/>
              <w:contextualSpacing/>
              <w:rPr>
                <w:color w:val="000000"/>
              </w:rPr>
            </w:pPr>
            <w:r w:rsidRPr="00391D4F">
              <w:rPr>
                <w:color w:val="000000"/>
              </w:rPr>
              <w:t>3.3.1 Develop and implement standards for blood sector data within prescribed national minimum data sets and align blood sector data with the data requirements of the National Health Reform to provide consistency of content and definition, to avoid duplication and diversity of solutions, and to reduce the cost of data development (2014</w:t>
            </w:r>
            <w:r w:rsidRPr="00391D4F">
              <w:rPr>
                <w:color w:val="000000"/>
              </w:rPr>
              <w:noBreakHyphen/>
              <w:t>15)</w:t>
            </w:r>
          </w:p>
          <w:p w:rsidR="002E207A" w:rsidRDefault="002E207A" w:rsidP="003D66AB">
            <w:pPr>
              <w:contextualSpacing/>
            </w:pPr>
          </w:p>
        </w:tc>
      </w:tr>
    </w:tbl>
    <w:p w:rsidR="002E207A" w:rsidRDefault="002E207A" w:rsidP="00A04E07">
      <w:pPr>
        <w:pStyle w:val="NoSpacing"/>
      </w:pPr>
    </w:p>
    <w:p w:rsidR="002E207A" w:rsidRDefault="002E207A" w:rsidP="00A04E07">
      <w:pPr>
        <w:spacing w:after="0"/>
        <w:rPr>
          <w:lang w:val="en-US"/>
        </w:rPr>
      </w:pPr>
      <w:r>
        <w:br w:type="page"/>
      </w:r>
    </w:p>
    <w:p w:rsidR="002E207A" w:rsidRDefault="006733AD" w:rsidP="00A04E07">
      <w:pPr>
        <w:pStyle w:val="NoSpacing"/>
      </w:pPr>
      <w:r>
        <w:rPr>
          <w:noProof/>
          <w:lang w:val="en-AU" w:eastAsia="en-AU"/>
        </w:rPr>
        <w:lastRenderedPageBreak/>
        <mc:AlternateContent>
          <mc:Choice Requires="wps">
            <w:drawing>
              <wp:anchor distT="0" distB="0" distL="114300" distR="114300" simplePos="0" relativeHeight="251663360" behindDoc="0" locked="0" layoutInCell="1" allowOverlap="1" wp14:anchorId="30C5E28C" wp14:editId="3290EBA1">
                <wp:simplePos x="0" y="0"/>
                <wp:positionH relativeFrom="page">
                  <wp:posOffset>0</wp:posOffset>
                </wp:positionH>
                <wp:positionV relativeFrom="page">
                  <wp:posOffset>756285</wp:posOffset>
                </wp:positionV>
                <wp:extent cx="4669155" cy="741680"/>
                <wp:effectExtent l="9525" t="13335" r="7620" b="6985"/>
                <wp:wrapTopAndBottom/>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9155" cy="741680"/>
                        </a:xfrm>
                        <a:prstGeom prst="rect">
                          <a:avLst/>
                        </a:prstGeom>
                        <a:solidFill>
                          <a:srgbClr val="005374"/>
                        </a:solidFill>
                        <a:ln w="9525">
                          <a:solidFill>
                            <a:srgbClr val="FFFFFF"/>
                          </a:solidFill>
                          <a:miter lim="800000"/>
                          <a:headEnd/>
                          <a:tailEnd/>
                        </a:ln>
                      </wps:spPr>
                      <wps:txbx>
                        <w:txbxContent>
                          <w:p w:rsidR="007649D7" w:rsidRPr="00391D4F" w:rsidRDefault="007649D7" w:rsidP="00A04E07">
                            <w:pPr>
                              <w:spacing w:after="0"/>
                              <w:ind w:left="993" w:hanging="425"/>
                              <w:rPr>
                                <w:color w:val="FFFFFF"/>
                                <w:sz w:val="28"/>
                                <w:szCs w:val="28"/>
                              </w:rPr>
                            </w:pPr>
                            <w:r w:rsidRPr="00391D4F">
                              <w:rPr>
                                <w:color w:val="FFFFFF"/>
                                <w:sz w:val="48"/>
                                <w:szCs w:val="48"/>
                              </w:rPr>
                              <w:t>4.</w:t>
                            </w:r>
                            <w:r w:rsidRPr="00391D4F">
                              <w:rPr>
                                <w:color w:val="FFFFFF"/>
                                <w:sz w:val="28"/>
                                <w:szCs w:val="28"/>
                              </w:rPr>
                              <w:t xml:space="preserve"> Prioritise data collection and system development required for the sector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margin-left:0;margin-top:59.55pt;width:367.65pt;height:58.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" fillcolor="#005374" strokecolor="white">
                <v:textbox>
                  <w:txbxContent>
                    <w:p w:rsidR="007649D7" w:rsidRPr="00391D4F" w:rsidRDefault="007649D7" w:rsidP="00A04E07">
                      <w:pPr>
                        <w:spacing w:after="0"/>
                        <w:ind w:left="993" w:hanging="425"/>
                        <w:rPr>
                          <w:color w:val="FFFFFF"/>
                          <w:sz w:val="28"/>
                          <w:szCs w:val="28"/>
                        </w:rPr>
                      </w:pPr>
                      <w:r w:rsidRPr="00391D4F">
                        <w:rPr>
                          <w:color w:val="FFFFFF"/>
                          <w:sz w:val="48"/>
                          <w:szCs w:val="48"/>
                        </w:rPr>
                        <w:t>4.</w:t>
                      </w:r>
                      <w:r w:rsidRPr="00391D4F">
                        <w:rPr>
                          <w:color w:val="FFFFFF"/>
                          <w:sz w:val="28"/>
                          <w:szCs w:val="28"/>
                        </w:rPr>
                        <w:t xml:space="preserve"> Prioritise data collection and system development required for the sector</w:t>
                      </w:r>
                    </w:p>
                  </w:txbxContent>
                </v:textbox>
                <w10:wrap type="topAndBottom" anchorx="page" anchory="page"/>
              </v:shape>
            </w:pict>
          </mc:Fallback>
        </mc:AlternateContent>
      </w:r>
    </w:p>
    <w:p w:rsidR="002E207A" w:rsidRDefault="002E207A" w:rsidP="00F169DC">
      <w:pPr>
        <w:rPr>
          <w:rFonts w:ascii="Cambria" w:eastAsia="Times New Roman" w:hAnsi="Cambria" w:cs="Times New Roman"/>
          <w:i/>
          <w:color w:val="005374"/>
        </w:rPr>
      </w:pPr>
      <w:r w:rsidRPr="00C510B9">
        <w:rPr>
          <w:rFonts w:cs="Arial"/>
        </w:rPr>
        <w:t xml:space="preserve">This </w:t>
      </w:r>
      <w:r>
        <w:rPr>
          <w:rFonts w:cs="Arial"/>
        </w:rPr>
        <w:t>priority</w:t>
      </w:r>
      <w:r w:rsidRPr="00C510B9">
        <w:rPr>
          <w:rFonts w:cs="Arial"/>
        </w:rPr>
        <w:t xml:space="preserve"> covers</w:t>
      </w:r>
      <w:r>
        <w:rPr>
          <w:rFonts w:cs="Arial"/>
        </w:rPr>
        <w:t xml:space="preserve"> key </w:t>
      </w:r>
      <w:r w:rsidRPr="00C510B9">
        <w:rPr>
          <w:rFonts w:cs="Arial"/>
        </w:rPr>
        <w:t xml:space="preserve">strategies for data that is collected from existing systems (e.g. by data linkage) and the development of new systems to collect data.  </w:t>
      </w:r>
      <w:r>
        <w:rPr>
          <w:rFonts w:cs="Arial"/>
        </w:rPr>
        <w:t>Data s</w:t>
      </w:r>
      <w:r w:rsidRPr="00C510B9">
        <w:rPr>
          <w:rFonts w:cs="Arial"/>
        </w:rPr>
        <w:t xml:space="preserve">ystems may also need to be developed or modified to aid </w:t>
      </w:r>
      <w:r>
        <w:rPr>
          <w:rFonts w:cs="Arial"/>
        </w:rPr>
        <w:t xml:space="preserve">data </w:t>
      </w:r>
      <w:r w:rsidRPr="00C510B9">
        <w:rPr>
          <w:rFonts w:cs="Arial"/>
        </w:rPr>
        <w:t>linkage or extraction</w:t>
      </w:r>
      <w:r>
        <w:rPr>
          <w:rFonts w:cs="Arial"/>
        </w:rPr>
        <w:t xml:space="preserve">. </w:t>
      </w:r>
      <w:r w:rsidRPr="00C510B9">
        <w:rPr>
          <w:rFonts w:cs="Arial"/>
        </w:rPr>
        <w:t xml:space="preserve">An important </w:t>
      </w:r>
      <w:r>
        <w:rPr>
          <w:rFonts w:cs="Arial"/>
        </w:rPr>
        <w:t>precursor</w:t>
      </w:r>
      <w:r w:rsidRPr="00C510B9">
        <w:rPr>
          <w:rFonts w:cs="Arial"/>
        </w:rPr>
        <w:t xml:space="preserve"> of the work</w:t>
      </w:r>
      <w:r>
        <w:rPr>
          <w:rFonts w:cs="Arial"/>
        </w:rPr>
        <w:t xml:space="preserve"> </w:t>
      </w:r>
      <w:r w:rsidRPr="00C510B9">
        <w:rPr>
          <w:rFonts w:cs="Arial"/>
        </w:rPr>
        <w:t>will be the identification of the currently available data sets, along with the data gaps within the sector</w:t>
      </w:r>
      <w:r>
        <w:rPr>
          <w:rFonts w:cs="Arial"/>
        </w:rPr>
        <w:t xml:space="preserve"> (Desired Outcome 1.2)</w:t>
      </w:r>
      <w:r w:rsidRPr="00C510B9">
        <w:rPr>
          <w:rFonts w:cs="Arial"/>
        </w:rPr>
        <w:t xml:space="preserve">.  </w:t>
      </w:r>
    </w:p>
    <w:tbl>
      <w:tblPr>
        <w:tblW w:w="4945" w:type="pct"/>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57" w:type="dxa"/>
          <w:bottom w:w="57" w:type="dxa"/>
        </w:tblCellMar>
        <w:tblLook w:val="00A0" w:firstRow="1" w:lastRow="0" w:firstColumn="1" w:lastColumn="0" w:noHBand="0" w:noVBand="0"/>
      </w:tblPr>
      <w:tblGrid>
        <w:gridCol w:w="4613"/>
        <w:gridCol w:w="4717"/>
      </w:tblGrid>
      <w:tr w:rsidR="002E207A" w:rsidTr="00071BB8">
        <w:trPr>
          <w:tblHeader/>
        </w:trPr>
        <w:tc>
          <w:tcPr>
            <w:tcW w:w="2472" w:type="pct"/>
            <w:tcBorders>
              <w:top w:val="single" w:sz="8" w:space="0" w:color="C00000"/>
              <w:left w:val="nil"/>
              <w:bottom w:val="single" w:sz="8" w:space="0" w:color="C00000"/>
              <w:right w:val="nil"/>
            </w:tcBorders>
            <w:shd w:val="clear" w:color="auto" w:fill="FFFFFF"/>
            <w:vAlign w:val="center"/>
          </w:tcPr>
          <w:p w:rsidR="002E207A" w:rsidRPr="00391D4F" w:rsidRDefault="002E207A" w:rsidP="00017DEA">
            <w:pPr>
              <w:contextualSpacing/>
              <w:rPr>
                <w:b/>
                <w:color w:val="C00000"/>
              </w:rPr>
            </w:pPr>
            <w:r w:rsidRPr="00391D4F">
              <w:rPr>
                <w:b/>
                <w:color w:val="C00000"/>
              </w:rPr>
              <w:t>Desired Outcome</w:t>
            </w:r>
          </w:p>
        </w:tc>
        <w:tc>
          <w:tcPr>
            <w:tcW w:w="2528" w:type="pct"/>
            <w:tcBorders>
              <w:top w:val="single" w:sz="8" w:space="0" w:color="C00000"/>
              <w:left w:val="nil"/>
              <w:bottom w:val="single" w:sz="8" w:space="0" w:color="C00000"/>
              <w:right w:val="nil"/>
            </w:tcBorders>
            <w:shd w:val="clear" w:color="auto" w:fill="FFFFFF"/>
            <w:vAlign w:val="center"/>
          </w:tcPr>
          <w:p w:rsidR="002E207A" w:rsidRPr="00391D4F" w:rsidRDefault="002E207A" w:rsidP="00017DEA">
            <w:pPr>
              <w:contextualSpacing/>
              <w:rPr>
                <w:b/>
                <w:color w:val="C00000"/>
              </w:rPr>
            </w:pPr>
            <w:r w:rsidRPr="00391D4F">
              <w:rPr>
                <w:b/>
                <w:color w:val="C00000"/>
              </w:rPr>
              <w:t>Key Strategies</w:t>
            </w:r>
          </w:p>
        </w:tc>
      </w:tr>
      <w:tr w:rsidR="002E207A" w:rsidTr="00391D4F">
        <w:tc>
          <w:tcPr>
            <w:tcW w:w="2472" w:type="pct"/>
            <w:shd w:val="clear" w:color="auto" w:fill="F2F2F2"/>
            <w:vAlign w:val="center"/>
          </w:tcPr>
          <w:p w:rsidR="002E207A" w:rsidRPr="00391D4F" w:rsidRDefault="002E207A" w:rsidP="00017DEA">
            <w:pPr>
              <w:contextualSpacing/>
              <w:rPr>
                <w:color w:val="000000"/>
              </w:rPr>
            </w:pPr>
            <w:r w:rsidRPr="00391D4F">
              <w:rPr>
                <w:color w:val="000000"/>
              </w:rPr>
              <w:t>4.1 Key data collection activities continue and are reviewed to ensure requirements remain current</w:t>
            </w:r>
          </w:p>
        </w:tc>
        <w:tc>
          <w:tcPr>
            <w:tcW w:w="2528" w:type="pct"/>
            <w:shd w:val="clear" w:color="auto" w:fill="F2F2F2"/>
            <w:vAlign w:val="center"/>
          </w:tcPr>
          <w:p w:rsidR="002E207A" w:rsidRPr="00071BB8" w:rsidRDefault="002E207A" w:rsidP="00017DEA">
            <w:pPr>
              <w:contextualSpacing/>
              <w:rPr>
                <w:color w:val="000000"/>
              </w:rPr>
            </w:pPr>
            <w:r w:rsidRPr="00071BB8">
              <w:rPr>
                <w:color w:val="000000"/>
              </w:rPr>
              <w:t>4.1.1 BloodNet interfaced to major Health Provider Laboratory Information Systems (2013</w:t>
            </w:r>
            <w:r w:rsidRPr="00071BB8">
              <w:rPr>
                <w:color w:val="000000"/>
              </w:rPr>
              <w:noBreakHyphen/>
              <w:t>1</w:t>
            </w:r>
            <w:r w:rsidR="00CE7C6E" w:rsidRPr="00071BB8">
              <w:rPr>
                <w:color w:val="000000"/>
              </w:rPr>
              <w:t>6</w:t>
            </w:r>
            <w:r w:rsidRPr="00071BB8">
              <w:rPr>
                <w:color w:val="000000"/>
              </w:rPr>
              <w:t>)</w:t>
            </w:r>
          </w:p>
          <w:p w:rsidR="002E207A" w:rsidRPr="00071BB8" w:rsidRDefault="002E207A" w:rsidP="00017DEA">
            <w:pPr>
              <w:contextualSpacing/>
              <w:rPr>
                <w:color w:val="000000"/>
              </w:rPr>
            </w:pPr>
          </w:p>
          <w:p w:rsidR="002E207A" w:rsidRPr="00071BB8" w:rsidRDefault="002E207A" w:rsidP="00017DEA">
            <w:pPr>
              <w:contextualSpacing/>
              <w:rPr>
                <w:color w:val="000000"/>
              </w:rPr>
            </w:pPr>
            <w:r w:rsidRPr="00071BB8">
              <w:rPr>
                <w:color w:val="000000"/>
              </w:rPr>
              <w:t xml:space="preserve">4.1.2 BloodNet expanded to cover all blood and blood products funded under the National Blood Arrangements </w:t>
            </w:r>
            <w:r w:rsidR="00CE7C6E" w:rsidRPr="00071BB8">
              <w:rPr>
                <w:color w:val="000000"/>
              </w:rPr>
              <w:t xml:space="preserve">so that data such as discards, orders fulfilment and full goods receipt verification can be provided from one source </w:t>
            </w:r>
            <w:r w:rsidRPr="00071BB8">
              <w:rPr>
                <w:color w:val="000000"/>
              </w:rPr>
              <w:t>(2013</w:t>
            </w:r>
            <w:r w:rsidRPr="00071BB8">
              <w:rPr>
                <w:color w:val="000000"/>
              </w:rPr>
              <w:noBreakHyphen/>
              <w:t>1</w:t>
            </w:r>
            <w:r w:rsidR="00CE7C6E" w:rsidRPr="00071BB8">
              <w:rPr>
                <w:color w:val="000000"/>
              </w:rPr>
              <w:t>5</w:t>
            </w:r>
            <w:r w:rsidRPr="00071BB8">
              <w:rPr>
                <w:color w:val="000000"/>
              </w:rPr>
              <w:t>)</w:t>
            </w:r>
          </w:p>
          <w:p w:rsidR="002E207A" w:rsidRPr="00071BB8" w:rsidRDefault="002E207A" w:rsidP="00017DEA">
            <w:pPr>
              <w:contextualSpacing/>
              <w:rPr>
                <w:color w:val="000000"/>
              </w:rPr>
            </w:pPr>
          </w:p>
          <w:p w:rsidR="002E207A" w:rsidRPr="00071BB8" w:rsidRDefault="002E207A" w:rsidP="00017DEA">
            <w:pPr>
              <w:contextualSpacing/>
              <w:rPr>
                <w:color w:val="000000"/>
              </w:rPr>
            </w:pPr>
            <w:r w:rsidRPr="00071BB8">
              <w:rPr>
                <w:color w:val="000000"/>
              </w:rPr>
              <w:t xml:space="preserve">4.1.3 BloodNet functionality enhanced to meet needs of key users; including interfaces with suppliers, supply chain efficiencies </w:t>
            </w:r>
            <w:r w:rsidR="00881CA1" w:rsidRPr="00071BB8">
              <w:rPr>
                <w:color w:val="000000"/>
              </w:rPr>
              <w:t xml:space="preserve">such as the Substitution and Payment Rules, </w:t>
            </w:r>
            <w:r w:rsidR="00881CA1" w:rsidRPr="00071BB8">
              <w:t>National Inventory Management Framework and Service Requirements &amp; Standards</w:t>
            </w:r>
            <w:r w:rsidR="00881CA1" w:rsidRPr="00071BB8">
              <w:rPr>
                <w:color w:val="000000"/>
              </w:rPr>
              <w:t xml:space="preserve"> </w:t>
            </w:r>
            <w:r w:rsidRPr="00071BB8">
              <w:rPr>
                <w:color w:val="000000"/>
              </w:rPr>
              <w:t>and further reporting capabilities</w:t>
            </w:r>
            <w:r w:rsidR="000F35E7" w:rsidRPr="00071BB8">
              <w:rPr>
                <w:color w:val="000000"/>
              </w:rPr>
              <w:t>, such as a near real time National Blood Inventory Report</w:t>
            </w:r>
            <w:r w:rsidRPr="00071BB8">
              <w:rPr>
                <w:color w:val="000000"/>
              </w:rPr>
              <w:t xml:space="preserve"> (2013</w:t>
            </w:r>
            <w:r w:rsidRPr="00071BB8">
              <w:rPr>
                <w:color w:val="000000"/>
              </w:rPr>
              <w:noBreakHyphen/>
              <w:t>1</w:t>
            </w:r>
            <w:r w:rsidR="000F35E7" w:rsidRPr="00071BB8">
              <w:rPr>
                <w:color w:val="000000"/>
              </w:rPr>
              <w:t>5</w:t>
            </w:r>
            <w:r w:rsidRPr="00071BB8">
              <w:rPr>
                <w:color w:val="000000"/>
              </w:rPr>
              <w:t>)</w:t>
            </w:r>
          </w:p>
          <w:p w:rsidR="002E207A" w:rsidRPr="00071BB8" w:rsidRDefault="002E207A" w:rsidP="00017DEA">
            <w:pPr>
              <w:contextualSpacing/>
              <w:rPr>
                <w:color w:val="000000"/>
              </w:rPr>
            </w:pPr>
          </w:p>
          <w:p w:rsidR="000F35E7" w:rsidRPr="00071BB8" w:rsidRDefault="002E207A" w:rsidP="000F35E7">
            <w:r w:rsidRPr="00071BB8">
              <w:rPr>
                <w:color w:val="000000"/>
              </w:rPr>
              <w:t xml:space="preserve">4.1.4 </w:t>
            </w:r>
            <w:r w:rsidR="000F35E7" w:rsidRPr="00071BB8">
              <w:t>Implement revised National Policy on Barcoding for Blood and Blood Products with traceability down to the individual unit level (2013-2016)</w:t>
            </w:r>
          </w:p>
          <w:p w:rsidR="002E207A" w:rsidRPr="00071BB8" w:rsidRDefault="002E207A" w:rsidP="00607921">
            <w:pPr>
              <w:contextualSpacing/>
              <w:rPr>
                <w:color w:val="000000"/>
              </w:rPr>
            </w:pPr>
            <w:r w:rsidRPr="00071BB8">
              <w:rPr>
                <w:color w:val="000000"/>
              </w:rPr>
              <w:t xml:space="preserve">4.1.5 Develop systems to meet the IVIg Governance Review recommendations </w:t>
            </w:r>
            <w:r w:rsidR="0029196B" w:rsidRPr="00071BB8">
              <w:rPr>
                <w:color w:val="000000"/>
              </w:rPr>
              <w:t xml:space="preserve">and consider synergies with other products that may have similar prescribing restrictions and the need for data collection </w:t>
            </w:r>
            <w:r w:rsidRPr="00071BB8">
              <w:rPr>
                <w:color w:val="000000"/>
              </w:rPr>
              <w:t>(201</w:t>
            </w:r>
            <w:r w:rsidR="000F35E7" w:rsidRPr="00071BB8">
              <w:rPr>
                <w:color w:val="000000"/>
              </w:rPr>
              <w:t>3</w:t>
            </w:r>
            <w:r w:rsidRPr="00071BB8">
              <w:rPr>
                <w:color w:val="000000"/>
              </w:rPr>
              <w:noBreakHyphen/>
              <w:t>15)</w:t>
            </w:r>
          </w:p>
          <w:p w:rsidR="002E207A" w:rsidRPr="00071BB8" w:rsidRDefault="002E207A" w:rsidP="00607921">
            <w:pPr>
              <w:contextualSpacing/>
            </w:pPr>
          </w:p>
          <w:p w:rsidR="002E207A" w:rsidRPr="00071BB8" w:rsidRDefault="002E207A" w:rsidP="00CE7C6E">
            <w:pPr>
              <w:contextualSpacing/>
            </w:pPr>
            <w:r w:rsidRPr="00071BB8">
              <w:t>4.</w:t>
            </w:r>
            <w:r w:rsidR="0029196B" w:rsidRPr="00071BB8">
              <w:t>1.6</w:t>
            </w:r>
            <w:r w:rsidRPr="00071BB8">
              <w:t xml:space="preserve"> Development of </w:t>
            </w:r>
            <w:proofErr w:type="spellStart"/>
            <w:r w:rsidRPr="00071BB8">
              <w:t>MyABDR</w:t>
            </w:r>
            <w:proofErr w:type="spellEnd"/>
            <w:r w:rsidRPr="00071BB8">
              <w:t xml:space="preserve">, a web and smart-phone based interface for people with bleeding disorders </w:t>
            </w:r>
            <w:r w:rsidR="00CE7C6E" w:rsidRPr="00071BB8">
              <w:t xml:space="preserve">for patient self-recording in real time of bleeds and infusions </w:t>
            </w:r>
            <w:r w:rsidR="0029196B" w:rsidRPr="00071BB8">
              <w:t xml:space="preserve"> </w:t>
            </w:r>
            <w:r w:rsidRPr="00071BB8">
              <w:t>(2013-2014)</w:t>
            </w:r>
          </w:p>
        </w:tc>
      </w:tr>
      <w:tr w:rsidR="002E207A" w:rsidTr="00391D4F">
        <w:tc>
          <w:tcPr>
            <w:tcW w:w="2472" w:type="pct"/>
            <w:tcBorders>
              <w:top w:val="nil"/>
              <w:left w:val="nil"/>
              <w:bottom w:val="nil"/>
              <w:right w:val="nil"/>
            </w:tcBorders>
            <w:shd w:val="clear" w:color="auto" w:fill="FFFFFF"/>
            <w:vAlign w:val="center"/>
          </w:tcPr>
          <w:p w:rsidR="002E207A" w:rsidRPr="00391D4F" w:rsidRDefault="002E207A" w:rsidP="00017DEA">
            <w:pPr>
              <w:contextualSpacing/>
              <w:rPr>
                <w:color w:val="000000"/>
              </w:rPr>
            </w:pPr>
            <w:r w:rsidRPr="00391D4F">
              <w:rPr>
                <w:color w:val="000000"/>
              </w:rPr>
              <w:t>4.2 Data needs for the blood sector are assessed and prioritised for delivery</w:t>
            </w:r>
          </w:p>
          <w:p w:rsidR="002E207A" w:rsidRPr="00391D4F" w:rsidRDefault="002E207A" w:rsidP="00017DEA">
            <w:pPr>
              <w:contextualSpacing/>
              <w:rPr>
                <w:color w:val="000000"/>
              </w:rPr>
            </w:pPr>
          </w:p>
        </w:tc>
        <w:tc>
          <w:tcPr>
            <w:tcW w:w="2528" w:type="pct"/>
            <w:tcBorders>
              <w:top w:val="nil"/>
              <w:left w:val="nil"/>
              <w:bottom w:val="nil"/>
              <w:right w:val="nil"/>
            </w:tcBorders>
            <w:shd w:val="clear" w:color="auto" w:fill="FFFFFF"/>
            <w:vAlign w:val="center"/>
          </w:tcPr>
          <w:p w:rsidR="002E207A" w:rsidRPr="00071BB8" w:rsidRDefault="002E207A" w:rsidP="000525B6">
            <w:pPr>
              <w:contextualSpacing/>
            </w:pPr>
            <w:r w:rsidRPr="00071BB8">
              <w:rPr>
                <w:color w:val="000000"/>
              </w:rPr>
              <w:t>4.2.1 Develop and implement tools and systems in priority areas as identified in Desired Outcome 1.2 to address the gaps in data collections and data linkages within the sector (2014</w:t>
            </w:r>
            <w:r w:rsidRPr="00071BB8">
              <w:rPr>
                <w:color w:val="000000"/>
              </w:rPr>
              <w:noBreakHyphen/>
              <w:t>16)</w:t>
            </w:r>
          </w:p>
        </w:tc>
      </w:tr>
      <w:tr w:rsidR="002E207A" w:rsidTr="00391D4F">
        <w:tc>
          <w:tcPr>
            <w:tcW w:w="2472" w:type="pct"/>
            <w:shd w:val="clear" w:color="auto" w:fill="F2F2F2"/>
            <w:vAlign w:val="center"/>
          </w:tcPr>
          <w:p w:rsidR="002E207A" w:rsidRPr="00391D4F" w:rsidRDefault="002E207A" w:rsidP="00017DEA">
            <w:pPr>
              <w:contextualSpacing/>
              <w:rPr>
                <w:color w:val="000000"/>
              </w:rPr>
            </w:pPr>
            <w:r w:rsidRPr="00391D4F">
              <w:rPr>
                <w:color w:val="000000"/>
              </w:rPr>
              <w:lastRenderedPageBreak/>
              <w:t xml:space="preserve">4.3 Establish performance benchmarks </w:t>
            </w:r>
          </w:p>
        </w:tc>
        <w:tc>
          <w:tcPr>
            <w:tcW w:w="2528" w:type="pct"/>
            <w:shd w:val="clear" w:color="auto" w:fill="F2F2F2"/>
            <w:vAlign w:val="center"/>
          </w:tcPr>
          <w:p w:rsidR="002E207A" w:rsidRPr="00071BB8" w:rsidRDefault="002E207A" w:rsidP="00690814">
            <w:pPr>
              <w:contextualSpacing/>
            </w:pPr>
            <w:r w:rsidRPr="00071BB8">
              <w:rPr>
                <w:color w:val="000000"/>
              </w:rPr>
              <w:t>4.3.1 Develop and agree benchmark targets for blood and blood product wastage</w:t>
            </w:r>
            <w:r w:rsidR="0029196B" w:rsidRPr="00071BB8">
              <w:rPr>
                <w:color w:val="000000"/>
              </w:rPr>
              <w:t>/discards</w:t>
            </w:r>
            <w:r w:rsidRPr="00071BB8">
              <w:rPr>
                <w:color w:val="000000"/>
              </w:rPr>
              <w:t xml:space="preserve"> (2013</w:t>
            </w:r>
            <w:r w:rsidRPr="00071BB8">
              <w:rPr>
                <w:color w:val="000000"/>
              </w:rPr>
              <w:noBreakHyphen/>
              <w:t>14)</w:t>
            </w:r>
          </w:p>
          <w:p w:rsidR="002E207A" w:rsidRPr="00071BB8" w:rsidRDefault="002E207A" w:rsidP="00690814">
            <w:pPr>
              <w:contextualSpacing/>
            </w:pPr>
          </w:p>
          <w:p w:rsidR="002E207A" w:rsidRPr="00071BB8" w:rsidRDefault="002E207A" w:rsidP="00CE7C6E">
            <w:pPr>
              <w:contextualSpacing/>
            </w:pPr>
            <w:r w:rsidRPr="00071BB8">
              <w:rPr>
                <w:color w:val="000000"/>
              </w:rPr>
              <w:t xml:space="preserve">4.3.2 Develop and agree benchmark targets for blood and blood product appropriate use </w:t>
            </w:r>
            <w:r w:rsidR="00CE7C6E" w:rsidRPr="00071BB8">
              <w:rPr>
                <w:color w:val="000000"/>
              </w:rPr>
              <w:t>once the outcomes of 3.3 are known</w:t>
            </w:r>
            <w:r w:rsidR="0029196B" w:rsidRPr="00071BB8">
              <w:rPr>
                <w:color w:val="000000"/>
              </w:rPr>
              <w:t xml:space="preserve"> </w:t>
            </w:r>
            <w:r w:rsidRPr="00071BB8">
              <w:rPr>
                <w:color w:val="000000"/>
              </w:rPr>
              <w:t>(201</w:t>
            </w:r>
            <w:r w:rsidR="00CE7C6E" w:rsidRPr="00071BB8">
              <w:rPr>
                <w:color w:val="000000"/>
              </w:rPr>
              <w:t>5</w:t>
            </w:r>
            <w:r w:rsidRPr="00071BB8">
              <w:rPr>
                <w:color w:val="000000"/>
              </w:rPr>
              <w:noBreakHyphen/>
              <w:t>1</w:t>
            </w:r>
            <w:r w:rsidR="00CE7C6E" w:rsidRPr="00071BB8">
              <w:rPr>
                <w:color w:val="000000"/>
              </w:rPr>
              <w:t>6</w:t>
            </w:r>
            <w:r w:rsidRPr="00071BB8">
              <w:rPr>
                <w:color w:val="000000"/>
              </w:rPr>
              <w:t>)</w:t>
            </w:r>
          </w:p>
        </w:tc>
      </w:tr>
      <w:tr w:rsidR="002E207A" w:rsidTr="00391D4F">
        <w:tc>
          <w:tcPr>
            <w:tcW w:w="2472" w:type="pct"/>
            <w:tcBorders>
              <w:top w:val="nil"/>
              <w:left w:val="nil"/>
              <w:bottom w:val="nil"/>
              <w:right w:val="nil"/>
            </w:tcBorders>
            <w:shd w:val="clear" w:color="auto" w:fill="FFFFFF"/>
            <w:vAlign w:val="center"/>
          </w:tcPr>
          <w:p w:rsidR="002E207A" w:rsidRPr="007679FF" w:rsidRDefault="002E207A" w:rsidP="00B057AA">
            <w:pPr>
              <w:contextualSpacing/>
            </w:pPr>
            <w:r w:rsidRPr="00391D4F">
              <w:rPr>
                <w:color w:val="000000"/>
              </w:rPr>
              <w:t xml:space="preserve">4.4 National Haemovigilance System </w:t>
            </w:r>
          </w:p>
        </w:tc>
        <w:tc>
          <w:tcPr>
            <w:tcW w:w="2528" w:type="pct"/>
            <w:tcBorders>
              <w:top w:val="nil"/>
              <w:left w:val="nil"/>
              <w:bottom w:val="nil"/>
              <w:right w:val="nil"/>
            </w:tcBorders>
            <w:shd w:val="clear" w:color="auto" w:fill="FFFFFF"/>
            <w:vAlign w:val="center"/>
          </w:tcPr>
          <w:p w:rsidR="002E207A" w:rsidRPr="00071BB8" w:rsidRDefault="002E207A" w:rsidP="00126907">
            <w:pPr>
              <w:contextualSpacing/>
            </w:pPr>
            <w:r w:rsidRPr="00071BB8">
              <w:rPr>
                <w:color w:val="000000"/>
              </w:rPr>
              <w:t>4.4.1 Agree the scope and design of a National Haemovigilance System</w:t>
            </w:r>
            <w:r w:rsidR="00810136" w:rsidRPr="00071BB8">
              <w:rPr>
                <w:color w:val="000000"/>
              </w:rPr>
              <w:t xml:space="preserve"> to capture data to enable appropriate analysis </w:t>
            </w:r>
            <w:r w:rsidRPr="00071BB8">
              <w:rPr>
                <w:color w:val="000000"/>
              </w:rPr>
              <w:t>(2013</w:t>
            </w:r>
            <w:r w:rsidRPr="00071BB8">
              <w:rPr>
                <w:color w:val="000000"/>
              </w:rPr>
              <w:noBreakHyphen/>
              <w:t>14)</w:t>
            </w:r>
          </w:p>
        </w:tc>
      </w:tr>
    </w:tbl>
    <w:p w:rsidR="002E207A" w:rsidRDefault="002E207A" w:rsidP="000525B6">
      <w:pPr>
        <w:spacing w:after="0"/>
      </w:pPr>
    </w:p>
    <w:p w:rsidR="002E207A" w:rsidRDefault="002E207A">
      <w:pPr>
        <w:spacing w:after="0"/>
      </w:pPr>
      <w:r>
        <w:br w:type="page"/>
      </w:r>
    </w:p>
    <w:p w:rsidR="002E207A" w:rsidRDefault="002E207A" w:rsidP="000525B6">
      <w:pPr>
        <w:spacing w:after="0"/>
      </w:pPr>
    </w:p>
    <w:p w:rsidR="002E207A" w:rsidRDefault="006733AD" w:rsidP="000525B6">
      <w:pPr>
        <w:spacing w:after="0"/>
      </w:pPr>
      <w:r>
        <w:rPr>
          <w:noProof/>
          <w:lang w:eastAsia="en-AU"/>
        </w:rPr>
        <mc:AlternateContent>
          <mc:Choice Requires="wps">
            <w:drawing>
              <wp:anchor distT="0" distB="0" distL="114300" distR="114300" simplePos="0" relativeHeight="251664384" behindDoc="0" locked="0" layoutInCell="1" allowOverlap="1" wp14:anchorId="7CAC4000" wp14:editId="772028E6">
                <wp:simplePos x="0" y="0"/>
                <wp:positionH relativeFrom="page">
                  <wp:posOffset>0</wp:posOffset>
                </wp:positionH>
                <wp:positionV relativeFrom="page">
                  <wp:posOffset>756285</wp:posOffset>
                </wp:positionV>
                <wp:extent cx="4669155" cy="791845"/>
                <wp:effectExtent l="9525" t="13335" r="7620" b="13970"/>
                <wp:wrapTopAndBottom/>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9155" cy="791845"/>
                        </a:xfrm>
                        <a:prstGeom prst="rect">
                          <a:avLst/>
                        </a:prstGeom>
                        <a:solidFill>
                          <a:srgbClr val="005374"/>
                        </a:solidFill>
                        <a:ln w="9525">
                          <a:solidFill>
                            <a:srgbClr val="FFFFFF"/>
                          </a:solidFill>
                          <a:miter lim="800000"/>
                          <a:headEnd/>
                          <a:tailEnd/>
                        </a:ln>
                      </wps:spPr>
                      <wps:txbx>
                        <w:txbxContent>
                          <w:p w:rsidR="007649D7" w:rsidRPr="00391D4F" w:rsidRDefault="007649D7" w:rsidP="00A04E07">
                            <w:pPr>
                              <w:spacing w:after="0"/>
                              <w:ind w:left="993" w:hanging="426"/>
                              <w:rPr>
                                <w:color w:val="FFFFFF"/>
                                <w:sz w:val="28"/>
                                <w:szCs w:val="28"/>
                              </w:rPr>
                            </w:pPr>
                            <w:r w:rsidRPr="00391D4F">
                              <w:rPr>
                                <w:color w:val="FFFFFF"/>
                                <w:sz w:val="48"/>
                                <w:szCs w:val="48"/>
                              </w:rPr>
                              <w:t>5.</w:t>
                            </w:r>
                            <w:r w:rsidRPr="00391D4F">
                              <w:rPr>
                                <w:color w:val="FFFFFF"/>
                                <w:sz w:val="28"/>
                                <w:szCs w:val="28"/>
                              </w:rPr>
                              <w:t xml:space="preserve"> Drive sector improvement with data analyses and publication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0;margin-top:59.55pt;width:367.65pt;height:62.3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" fillcolor="#005374" strokecolor="white">
                <v:textbox>
                  <w:txbxContent>
                    <w:p w:rsidR="007649D7" w:rsidRPr="00391D4F" w:rsidRDefault="007649D7" w:rsidP="00A04E07">
                      <w:pPr>
                        <w:spacing w:after="0"/>
                        <w:ind w:left="993" w:hanging="426"/>
                        <w:rPr>
                          <w:color w:val="FFFFFF"/>
                          <w:sz w:val="28"/>
                          <w:szCs w:val="28"/>
                        </w:rPr>
                      </w:pPr>
                      <w:r w:rsidRPr="00391D4F">
                        <w:rPr>
                          <w:color w:val="FFFFFF"/>
                          <w:sz w:val="48"/>
                          <w:szCs w:val="48"/>
                        </w:rPr>
                        <w:t>5.</w:t>
                      </w:r>
                      <w:r w:rsidRPr="00391D4F">
                        <w:rPr>
                          <w:color w:val="FFFFFF"/>
                          <w:sz w:val="28"/>
                          <w:szCs w:val="28"/>
                        </w:rPr>
                        <w:t xml:space="preserve"> Drive sector improvement with data analyses and publication</w:t>
                      </w:r>
                    </w:p>
                  </w:txbxContent>
                </v:textbox>
                <w10:wrap type="topAndBottom" anchorx="page" anchory="page"/>
              </v:shape>
            </w:pict>
          </mc:Fallback>
        </mc:AlternateContent>
      </w:r>
      <w:r w:rsidR="002E207A" w:rsidRPr="00D6494B">
        <w:t xml:space="preserve">Data </w:t>
      </w:r>
      <w:r w:rsidR="002E207A">
        <w:t xml:space="preserve">becomes valuable when </w:t>
      </w:r>
      <w:r w:rsidR="002E207A" w:rsidRPr="00D6494B">
        <w:t>it is analysed in well</w:t>
      </w:r>
      <w:r w:rsidR="002E207A">
        <w:noBreakHyphen/>
      </w:r>
      <w:r w:rsidR="002E207A" w:rsidRPr="00D6494B">
        <w:t>considered ways and disseminated to those parties who need and/or benefit from it.  This section sets out the strategies to identify who analyses the data, how and why, to whom the resultant information is disseminated and the rules for controlling data dissemination, e.g. rules for ensuring privacy is maintained, recognising and managing sensitive information, and ensuring data and information is disseminated in a timely manner.</w:t>
      </w:r>
    </w:p>
    <w:p w:rsidR="002E207A" w:rsidRDefault="002E207A" w:rsidP="000525B6">
      <w:pPr>
        <w:spacing w:after="0"/>
      </w:pPr>
    </w:p>
    <w:tbl>
      <w:tblPr>
        <w:tblW w:w="4945" w:type="pct"/>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57" w:type="dxa"/>
          <w:bottom w:w="57" w:type="dxa"/>
        </w:tblCellMar>
        <w:tblLook w:val="00A0" w:firstRow="1" w:lastRow="0" w:firstColumn="1" w:lastColumn="0" w:noHBand="0" w:noVBand="0"/>
      </w:tblPr>
      <w:tblGrid>
        <w:gridCol w:w="4613"/>
        <w:gridCol w:w="4717"/>
      </w:tblGrid>
      <w:tr w:rsidR="002E207A" w:rsidTr="007649D7">
        <w:trPr>
          <w:tblHeader/>
        </w:trPr>
        <w:tc>
          <w:tcPr>
            <w:tcW w:w="2472" w:type="pct"/>
            <w:tcBorders>
              <w:top w:val="single" w:sz="8" w:space="0" w:color="C00000"/>
              <w:left w:val="nil"/>
              <w:bottom w:val="single" w:sz="8" w:space="0" w:color="C00000"/>
              <w:right w:val="nil"/>
            </w:tcBorders>
            <w:shd w:val="clear" w:color="auto" w:fill="FFFFFF"/>
            <w:vAlign w:val="center"/>
          </w:tcPr>
          <w:p w:rsidR="002E207A" w:rsidRPr="00391D4F" w:rsidRDefault="002E207A" w:rsidP="00017DEA">
            <w:pPr>
              <w:contextualSpacing/>
              <w:rPr>
                <w:b/>
                <w:color w:val="C00000"/>
              </w:rPr>
            </w:pPr>
            <w:r w:rsidRPr="00391D4F">
              <w:rPr>
                <w:b/>
                <w:color w:val="C00000"/>
              </w:rPr>
              <w:t>Desired Outcome</w:t>
            </w:r>
          </w:p>
        </w:tc>
        <w:tc>
          <w:tcPr>
            <w:tcW w:w="2528" w:type="pct"/>
            <w:tcBorders>
              <w:top w:val="single" w:sz="8" w:space="0" w:color="C00000"/>
              <w:left w:val="nil"/>
              <w:bottom w:val="single" w:sz="8" w:space="0" w:color="C00000"/>
              <w:right w:val="nil"/>
            </w:tcBorders>
            <w:shd w:val="clear" w:color="auto" w:fill="FFFFFF"/>
            <w:vAlign w:val="center"/>
          </w:tcPr>
          <w:p w:rsidR="002E207A" w:rsidRPr="00391D4F" w:rsidRDefault="002E207A" w:rsidP="00017DEA">
            <w:pPr>
              <w:contextualSpacing/>
              <w:rPr>
                <w:b/>
                <w:color w:val="C00000"/>
              </w:rPr>
            </w:pPr>
            <w:r w:rsidRPr="00391D4F">
              <w:rPr>
                <w:b/>
                <w:color w:val="C00000"/>
              </w:rPr>
              <w:t>Key Strategies</w:t>
            </w:r>
          </w:p>
        </w:tc>
      </w:tr>
      <w:tr w:rsidR="002E207A" w:rsidTr="00391D4F">
        <w:tc>
          <w:tcPr>
            <w:tcW w:w="2472" w:type="pct"/>
            <w:shd w:val="clear" w:color="auto" w:fill="F2F2F2"/>
            <w:vAlign w:val="center"/>
          </w:tcPr>
          <w:p w:rsidR="002E207A" w:rsidRPr="00391D4F" w:rsidRDefault="002E207A" w:rsidP="00017DEA">
            <w:pPr>
              <w:contextualSpacing/>
              <w:rPr>
                <w:color w:val="000000"/>
              </w:rPr>
            </w:pPr>
            <w:r w:rsidRPr="00391D4F">
              <w:rPr>
                <w:color w:val="000000"/>
              </w:rPr>
              <w:t>5.1 Provide open access to data and information as a default position, where activities have been undertaken with public funding</w:t>
            </w:r>
          </w:p>
        </w:tc>
        <w:tc>
          <w:tcPr>
            <w:tcW w:w="2528" w:type="pct"/>
            <w:shd w:val="clear" w:color="auto" w:fill="F2F2F2"/>
            <w:vAlign w:val="center"/>
          </w:tcPr>
          <w:p w:rsidR="002E207A" w:rsidRPr="00391D4F" w:rsidRDefault="002E207A" w:rsidP="00017DEA">
            <w:pPr>
              <w:contextualSpacing/>
              <w:rPr>
                <w:color w:val="000000"/>
              </w:rPr>
            </w:pPr>
            <w:r w:rsidRPr="00391D4F">
              <w:rPr>
                <w:color w:val="000000"/>
              </w:rPr>
              <w:t>5.1.1 Following Desired Outcome 2.2, implement the agreed principles on open public sector information access (2013</w:t>
            </w:r>
            <w:r w:rsidRPr="00391D4F">
              <w:rPr>
                <w:color w:val="000000"/>
              </w:rPr>
              <w:noBreakHyphen/>
              <w:t>14)</w:t>
            </w:r>
          </w:p>
          <w:p w:rsidR="002E207A" w:rsidRDefault="002E207A" w:rsidP="00017DEA">
            <w:pPr>
              <w:contextualSpacing/>
              <w:rPr>
                <w:color w:val="000000"/>
              </w:rPr>
            </w:pPr>
          </w:p>
          <w:p w:rsidR="000F35E7" w:rsidRDefault="000F35E7" w:rsidP="00017DEA">
            <w:pPr>
              <w:contextualSpacing/>
              <w:rPr>
                <w:color w:val="000000"/>
              </w:rPr>
            </w:pPr>
            <w:r>
              <w:t>5.1.2 Scope and implement additional online reporting through Jurisdictional Reporting application to meet jurisdictional needs (2014)</w:t>
            </w:r>
            <w:r>
              <w:br/>
            </w:r>
          </w:p>
          <w:p w:rsidR="000F35E7" w:rsidRPr="00391D4F" w:rsidRDefault="000F35E7" w:rsidP="000F35E7">
            <w:pPr>
              <w:contextualSpacing/>
              <w:rPr>
                <w:color w:val="000000"/>
              </w:rPr>
            </w:pPr>
            <w:r>
              <w:t xml:space="preserve">5.1.3 Aggregated data sets available for download from NBA website </w:t>
            </w:r>
            <w:r w:rsidRPr="002F1FDB">
              <w:t xml:space="preserve">including data sets in various formats that allow analysis </w:t>
            </w:r>
            <w:r>
              <w:t>(2014-2015)</w:t>
            </w:r>
          </w:p>
        </w:tc>
      </w:tr>
      <w:tr w:rsidR="002E207A" w:rsidTr="00391D4F">
        <w:tc>
          <w:tcPr>
            <w:tcW w:w="2472" w:type="pct"/>
            <w:tcBorders>
              <w:top w:val="nil"/>
              <w:left w:val="nil"/>
              <w:bottom w:val="nil"/>
              <w:right w:val="nil"/>
            </w:tcBorders>
            <w:shd w:val="clear" w:color="auto" w:fill="FFFFFF"/>
            <w:vAlign w:val="center"/>
          </w:tcPr>
          <w:p w:rsidR="002E207A" w:rsidRPr="00391D4F" w:rsidRDefault="002E207A" w:rsidP="00192571">
            <w:pPr>
              <w:contextualSpacing/>
              <w:rPr>
                <w:color w:val="000000"/>
              </w:rPr>
            </w:pPr>
            <w:r w:rsidRPr="00391D4F">
              <w:rPr>
                <w:color w:val="000000"/>
              </w:rPr>
              <w:t>5.2 Collate and analyse data on a timely basis to support performance reporting and provide reports that address key blood sector questions</w:t>
            </w:r>
          </w:p>
        </w:tc>
        <w:tc>
          <w:tcPr>
            <w:tcW w:w="2528" w:type="pct"/>
            <w:tcBorders>
              <w:top w:val="nil"/>
              <w:left w:val="nil"/>
              <w:bottom w:val="nil"/>
              <w:right w:val="nil"/>
            </w:tcBorders>
            <w:shd w:val="clear" w:color="auto" w:fill="FFFFFF"/>
            <w:vAlign w:val="center"/>
          </w:tcPr>
          <w:p w:rsidR="002E207A" w:rsidRPr="00391D4F" w:rsidRDefault="002E207A" w:rsidP="005D1CA3">
            <w:pPr>
              <w:contextualSpacing/>
              <w:rPr>
                <w:color w:val="000000"/>
              </w:rPr>
            </w:pPr>
            <w:r w:rsidRPr="00391D4F">
              <w:rPr>
                <w:color w:val="000000"/>
              </w:rPr>
              <w:t>5.2.1 The NBA to publish real time inventory and discards at the Health Provider level (2013</w:t>
            </w:r>
            <w:r w:rsidRPr="00391D4F">
              <w:rPr>
                <w:color w:val="000000"/>
              </w:rPr>
              <w:noBreakHyphen/>
              <w:t>14)</w:t>
            </w:r>
          </w:p>
          <w:p w:rsidR="002E207A" w:rsidRPr="00391D4F" w:rsidRDefault="002E207A" w:rsidP="005D1CA3">
            <w:pPr>
              <w:contextualSpacing/>
              <w:rPr>
                <w:color w:val="000000"/>
              </w:rPr>
            </w:pPr>
          </w:p>
          <w:p w:rsidR="002E207A" w:rsidRPr="00391D4F" w:rsidRDefault="002E207A" w:rsidP="005D1CA3">
            <w:pPr>
              <w:contextualSpacing/>
              <w:rPr>
                <w:color w:val="000000"/>
              </w:rPr>
            </w:pPr>
            <w:r w:rsidRPr="00391D4F">
              <w:rPr>
                <w:color w:val="000000"/>
              </w:rPr>
              <w:t>5.2.2 The NBA to publish comparative data on issues, discards and order fulfilment rates (201</w:t>
            </w:r>
            <w:r w:rsidR="0029196B">
              <w:rPr>
                <w:color w:val="000000"/>
              </w:rPr>
              <w:t>3</w:t>
            </w:r>
            <w:r w:rsidRPr="00391D4F">
              <w:rPr>
                <w:color w:val="000000"/>
              </w:rPr>
              <w:noBreakHyphen/>
              <w:t>1</w:t>
            </w:r>
            <w:r w:rsidR="0029196B">
              <w:rPr>
                <w:color w:val="000000"/>
              </w:rPr>
              <w:t>5</w:t>
            </w:r>
            <w:r w:rsidRPr="00391D4F">
              <w:rPr>
                <w:color w:val="000000"/>
              </w:rPr>
              <w:t>)</w:t>
            </w:r>
          </w:p>
          <w:p w:rsidR="002E207A" w:rsidRPr="00391D4F" w:rsidRDefault="002E207A" w:rsidP="005D1CA3">
            <w:pPr>
              <w:contextualSpacing/>
              <w:rPr>
                <w:color w:val="000000"/>
              </w:rPr>
            </w:pPr>
          </w:p>
          <w:p w:rsidR="002E207A" w:rsidRPr="00391D4F" w:rsidRDefault="002E207A" w:rsidP="008353A9">
            <w:pPr>
              <w:contextualSpacing/>
              <w:rPr>
                <w:color w:val="000000"/>
              </w:rPr>
            </w:pPr>
            <w:r w:rsidRPr="00391D4F">
              <w:rPr>
                <w:color w:val="000000"/>
              </w:rPr>
              <w:t>5.2.3 Report and publish the Performance Scorecard administered by the NBA (2013</w:t>
            </w:r>
            <w:r w:rsidRPr="00391D4F">
              <w:rPr>
                <w:color w:val="000000"/>
              </w:rPr>
              <w:noBreakHyphen/>
              <w:t>14)</w:t>
            </w:r>
          </w:p>
          <w:p w:rsidR="002E207A" w:rsidRDefault="002E207A" w:rsidP="008353A9">
            <w:pPr>
              <w:contextualSpacing/>
            </w:pPr>
          </w:p>
          <w:p w:rsidR="002E207A" w:rsidRDefault="002E207A" w:rsidP="008353A9">
            <w:pPr>
              <w:contextualSpacing/>
            </w:pPr>
            <w:r>
              <w:t>5.2.4 The NBA to continue to publish the ABDR and IVIg annual reports (2013</w:t>
            </w:r>
            <w:r>
              <w:noBreakHyphen/>
              <w:t>16)</w:t>
            </w:r>
          </w:p>
        </w:tc>
      </w:tr>
      <w:tr w:rsidR="002E207A" w:rsidTr="00391D4F">
        <w:tc>
          <w:tcPr>
            <w:tcW w:w="2472" w:type="pct"/>
            <w:shd w:val="clear" w:color="auto" w:fill="F2F2F2"/>
            <w:vAlign w:val="center"/>
          </w:tcPr>
          <w:p w:rsidR="002E207A" w:rsidRPr="00391D4F" w:rsidRDefault="002E207A" w:rsidP="00017DEA">
            <w:pPr>
              <w:contextualSpacing/>
              <w:rPr>
                <w:color w:val="000000"/>
              </w:rPr>
            </w:pPr>
            <w:r w:rsidRPr="00391D4F">
              <w:rPr>
                <w:color w:val="000000"/>
              </w:rPr>
              <w:t>5.3 The value of extant data will be increased through the use of data linking and  improved contextual data</w:t>
            </w:r>
          </w:p>
          <w:p w:rsidR="002E207A" w:rsidRPr="00391D4F" w:rsidRDefault="002E207A" w:rsidP="00017DEA">
            <w:pPr>
              <w:contextualSpacing/>
              <w:rPr>
                <w:color w:val="000000"/>
              </w:rPr>
            </w:pPr>
          </w:p>
        </w:tc>
        <w:tc>
          <w:tcPr>
            <w:tcW w:w="2528" w:type="pct"/>
            <w:shd w:val="clear" w:color="auto" w:fill="F2F2F2"/>
            <w:vAlign w:val="center"/>
          </w:tcPr>
          <w:p w:rsidR="002E207A" w:rsidRPr="00391D4F" w:rsidRDefault="002E207A" w:rsidP="00017DEA">
            <w:pPr>
              <w:contextualSpacing/>
              <w:rPr>
                <w:color w:val="000000"/>
              </w:rPr>
            </w:pPr>
            <w:r w:rsidRPr="00391D4F">
              <w:rPr>
                <w:color w:val="000000"/>
              </w:rPr>
              <w:t>5.3.1 Red blood cell appropriate use data linkage results published (2013</w:t>
            </w:r>
            <w:r w:rsidRPr="00391D4F">
              <w:rPr>
                <w:color w:val="000000"/>
              </w:rPr>
              <w:noBreakHyphen/>
              <w:t>14)</w:t>
            </w:r>
          </w:p>
          <w:p w:rsidR="002E207A" w:rsidRPr="00391D4F" w:rsidRDefault="002E207A" w:rsidP="00017DEA">
            <w:pPr>
              <w:contextualSpacing/>
              <w:rPr>
                <w:color w:val="000000"/>
              </w:rPr>
            </w:pPr>
          </w:p>
          <w:p w:rsidR="002E207A" w:rsidRDefault="002E207A" w:rsidP="009D71F0">
            <w:pPr>
              <w:contextualSpacing/>
            </w:pPr>
            <w:r w:rsidRPr="00391D4F">
              <w:rPr>
                <w:color w:val="000000"/>
              </w:rPr>
              <w:t>5.3.2 Identify and design further data linkage projects to address the gaps in data collections and data linkages within the sector from Desired Outcome 1.2 (2014</w:t>
            </w:r>
            <w:r w:rsidRPr="00391D4F">
              <w:rPr>
                <w:color w:val="000000"/>
              </w:rPr>
              <w:noBreakHyphen/>
              <w:t>1</w:t>
            </w:r>
            <w:r w:rsidR="009D71F0">
              <w:rPr>
                <w:color w:val="000000"/>
              </w:rPr>
              <w:t>6</w:t>
            </w:r>
            <w:r w:rsidRPr="00391D4F">
              <w:rPr>
                <w:color w:val="000000"/>
              </w:rPr>
              <w:t>)</w:t>
            </w:r>
          </w:p>
        </w:tc>
      </w:tr>
      <w:tr w:rsidR="002E207A" w:rsidTr="00391D4F">
        <w:tc>
          <w:tcPr>
            <w:tcW w:w="2472" w:type="pct"/>
            <w:tcBorders>
              <w:top w:val="nil"/>
              <w:left w:val="nil"/>
              <w:bottom w:val="nil"/>
              <w:right w:val="nil"/>
            </w:tcBorders>
            <w:shd w:val="clear" w:color="auto" w:fill="FFFFFF"/>
            <w:vAlign w:val="center"/>
          </w:tcPr>
          <w:p w:rsidR="002E207A" w:rsidRPr="00391D4F" w:rsidRDefault="002E207A" w:rsidP="00017DEA">
            <w:pPr>
              <w:contextualSpacing/>
              <w:rPr>
                <w:color w:val="000000"/>
              </w:rPr>
            </w:pPr>
            <w:r w:rsidRPr="00391D4F">
              <w:rPr>
                <w:color w:val="000000"/>
              </w:rPr>
              <w:t>5.4 Collaborate and disseminate research and development results</w:t>
            </w:r>
          </w:p>
        </w:tc>
        <w:tc>
          <w:tcPr>
            <w:tcW w:w="2528" w:type="pct"/>
            <w:tcBorders>
              <w:top w:val="nil"/>
              <w:left w:val="nil"/>
              <w:bottom w:val="nil"/>
              <w:right w:val="nil"/>
            </w:tcBorders>
            <w:shd w:val="clear" w:color="auto" w:fill="FFFFFF"/>
            <w:vAlign w:val="center"/>
          </w:tcPr>
          <w:p w:rsidR="002E207A" w:rsidRDefault="002E207A" w:rsidP="00247D8B">
            <w:pPr>
              <w:contextualSpacing/>
            </w:pPr>
            <w:r w:rsidRPr="00391D4F">
              <w:rPr>
                <w:color w:val="000000"/>
              </w:rPr>
              <w:t>5.4.1 Coordinate communication in the blood sector to highlight current and proposed data research and development results (2013</w:t>
            </w:r>
            <w:r w:rsidRPr="00391D4F">
              <w:rPr>
                <w:color w:val="000000"/>
              </w:rPr>
              <w:noBreakHyphen/>
              <w:t>1</w:t>
            </w:r>
            <w:r>
              <w:rPr>
                <w:color w:val="000000"/>
              </w:rPr>
              <w:t>6</w:t>
            </w:r>
            <w:r w:rsidRPr="00391D4F">
              <w:rPr>
                <w:color w:val="000000"/>
              </w:rPr>
              <w:t>)</w:t>
            </w:r>
          </w:p>
        </w:tc>
      </w:tr>
    </w:tbl>
    <w:p w:rsidR="002E207A" w:rsidRDefault="002E207A" w:rsidP="00A04E07">
      <w:r>
        <w:br w:type="page"/>
      </w:r>
    </w:p>
    <w:p w:rsidR="002E207A" w:rsidRDefault="002E207A" w:rsidP="00A04E07">
      <w:pPr>
        <w:pStyle w:val="Heading2"/>
      </w:pPr>
      <w:bookmarkStart w:id="13" w:name="_Toc334374993"/>
      <w:bookmarkStart w:id="14" w:name="_Toc337200684"/>
      <w:bookmarkStart w:id="15" w:name="_Toc343432037"/>
      <w:r w:rsidRPr="00D01F71">
        <w:lastRenderedPageBreak/>
        <w:t>Blood Sector Performance Scorecard</w:t>
      </w:r>
      <w:bookmarkEnd w:id="13"/>
      <w:bookmarkEnd w:id="14"/>
      <w:bookmarkEnd w:id="15"/>
      <w:r w:rsidRPr="00D01F71">
        <w:t xml:space="preserve"> </w:t>
      </w:r>
    </w:p>
    <w:p w:rsidR="002E207A" w:rsidRDefault="002E207A" w:rsidP="00A04E07">
      <w:r>
        <w:t>A component of Strategic Priority 5 will be performance reporting through a Blood Sector Performance Scorecard administered by the NBA. The key objective in establishing this scorecard is to ensure integration of blood sector performance measurement with broader government health performance and accountability agendas.  The National Health Performance Framework 2009</w:t>
      </w:r>
      <w:r>
        <w:rPr>
          <w:rStyle w:val="FootnoteReference"/>
          <w:rFonts w:cs="Calibri"/>
        </w:rPr>
        <w:footnoteReference w:id="1"/>
      </w:r>
      <w:r>
        <w:t xml:space="preserve">  describes indicators for three tiers of the health sector to provide a comprehensive picture of the population’s health and how the health system is performing in meeting health needs. The blood sector scorecard will conform to the Health System Performance framework (Tier 3). The interpretation of this framework for the blood sector is at Table 1.</w:t>
      </w:r>
    </w:p>
    <w:p w:rsidR="002E207A" w:rsidRDefault="002E207A" w:rsidP="00A04E07">
      <w:r>
        <w:t>While the sector scorecard is derived from the wider health sector framework, it also accommodates three key perspectives derived from the National Blood Agreement as summarised below.</w:t>
      </w:r>
    </w:p>
    <w:p w:rsidR="002E207A" w:rsidRPr="00BF0521" w:rsidRDefault="002E207A" w:rsidP="00A04E07">
      <w:pPr>
        <w:pStyle w:val="ListParagraph"/>
        <w:numPr>
          <w:ilvl w:val="0"/>
          <w:numId w:val="15"/>
        </w:numPr>
        <w:rPr>
          <w:bCs/>
        </w:rPr>
      </w:pPr>
      <w:r w:rsidRPr="00BF0521">
        <w:rPr>
          <w:b/>
          <w:bCs/>
        </w:rPr>
        <w:t>Supply security</w:t>
      </w:r>
      <w:r w:rsidRPr="00BF0521">
        <w:rPr>
          <w:bCs/>
        </w:rPr>
        <w:t>: this perspective comprises measures of any interruption to supply, including product recall for safety reasons. For supply to be secure in the long term, and adequate to meet clinical need, it must remain affordable for governments.</w:t>
      </w:r>
    </w:p>
    <w:p w:rsidR="002E207A" w:rsidRPr="00BF0521" w:rsidRDefault="002E207A" w:rsidP="00A04E07">
      <w:pPr>
        <w:pStyle w:val="ListParagraph"/>
        <w:numPr>
          <w:ilvl w:val="0"/>
          <w:numId w:val="15"/>
        </w:numPr>
        <w:rPr>
          <w:bCs/>
        </w:rPr>
      </w:pPr>
      <w:r w:rsidRPr="00BF0521">
        <w:rPr>
          <w:b/>
          <w:bCs/>
        </w:rPr>
        <w:t>Clinical Safety and Quality:</w:t>
      </w:r>
      <w:r w:rsidRPr="00BF0521">
        <w:rPr>
          <w:bCs/>
        </w:rPr>
        <w:t xml:space="preserve"> this is a clinical perspective focused on patient outcomes and safety and quality of processes used to deliver these outcomes. This perspective comprises measures of the impact of health care on the patient’s clinical status and functioning. Indicators of this type are often described as the ‘gold standard’ of service effectiveness indicators on the basis that health services must first and foremost be accountable to the populations they serve.</w:t>
      </w:r>
    </w:p>
    <w:p w:rsidR="002E207A" w:rsidRDefault="002E207A" w:rsidP="00A04E07">
      <w:r>
        <w:t>In pursuing the primary policy objectives of the National Blood Agreement, a number of secondary policy aims prescribe the third perspective:</w:t>
      </w:r>
    </w:p>
    <w:p w:rsidR="002E207A" w:rsidRDefault="002E207A" w:rsidP="00161149">
      <w:pPr>
        <w:pStyle w:val="ListParagraph"/>
        <w:numPr>
          <w:ilvl w:val="0"/>
          <w:numId w:val="15"/>
        </w:numPr>
        <w:spacing w:after="240"/>
      </w:pPr>
      <w:r w:rsidRPr="002418E3">
        <w:rPr>
          <w:b/>
        </w:rPr>
        <w:t>Sector Management</w:t>
      </w:r>
      <w:r>
        <w:t>: this perspective comprises measures of the control and implementation of policy and governance in the blood sector. A high performing blood sector requires effective and responsive stewardship that demonstrates positive impacts on sector resources, processes and outcomes.</w:t>
      </w:r>
    </w:p>
    <w:p w:rsidR="002E207A" w:rsidRDefault="002E207A" w:rsidP="00A04E07">
      <w:r>
        <w:t>Preliminary internal work at the NBA has identified a number of blood sector performance measures that vary in the timeframes and resources necessary to implement them.</w:t>
      </w:r>
    </w:p>
    <w:p w:rsidR="002E207A" w:rsidRDefault="002E207A" w:rsidP="00A04E07">
      <w:r>
        <w:t>The data points in the scorecard (divided into three perspectives) at Tables 2 to 4 represent reporting that can now, or will be, achieved within the 2013</w:t>
      </w:r>
      <w:r>
        <w:noBreakHyphen/>
        <w:t>16 timeframe. Data points that require further development before implementation have been marked in grey, and the data sources for each measure are indicated. The scorecard will be reviewed and published annually.</w:t>
      </w:r>
    </w:p>
    <w:p w:rsidR="002E207A" w:rsidRDefault="002E207A" w:rsidP="00A04E07">
      <w:pPr>
        <w:sectPr w:rsidR="002E207A" w:rsidSect="00017DEA">
          <w:footerReference w:type="default" r:id="rId17"/>
          <w:footerReference w:type="first" r:id="rId18"/>
          <w:pgSz w:w="11906" w:h="16838" w:code="9"/>
          <w:pgMar w:top="1276" w:right="1608" w:bottom="1702" w:left="1080" w:header="720" w:footer="382" w:gutter="0"/>
          <w:pgNumType w:start="0"/>
          <w:cols w:space="720"/>
          <w:titlePg/>
          <w:docGrid w:linePitch="360"/>
        </w:sectPr>
      </w:pPr>
    </w:p>
    <w:p w:rsidR="002E207A" w:rsidRDefault="002E207A" w:rsidP="00B402BF">
      <w:pPr>
        <w:pStyle w:val="Heading3"/>
      </w:pPr>
      <w:bookmarkStart w:id="16" w:name="_Ref341002252"/>
      <w:bookmarkStart w:id="17" w:name="_Ref341002266"/>
      <w:bookmarkStart w:id="18" w:name="_Toc343432038"/>
      <w:r>
        <w:lastRenderedPageBreak/>
        <w:t xml:space="preserve">Table </w:t>
      </w:r>
      <w:r w:rsidR="00A74103">
        <w:fldChar w:fldCharType="begin"/>
      </w:r>
      <w:r w:rsidR="00A74103">
        <w:instrText xml:space="preserve"> SEQ Table \* ARABIC </w:instrText>
      </w:r>
      <w:r w:rsidR="00A74103">
        <w:fldChar w:fldCharType="separate"/>
      </w:r>
      <w:r w:rsidR="00C82CE1">
        <w:rPr>
          <w:noProof/>
        </w:rPr>
        <w:t>2</w:t>
      </w:r>
      <w:r w:rsidR="00A74103">
        <w:rPr>
          <w:noProof/>
        </w:rPr>
        <w:fldChar w:fldCharType="end"/>
      </w:r>
      <w:bookmarkEnd w:id="16"/>
      <w:r>
        <w:t xml:space="preserve">. Health SYSTEM Performance AND THE </w:t>
      </w:r>
      <w:bookmarkEnd w:id="17"/>
      <w:r>
        <w:t>Blood Sector Measures</w:t>
      </w:r>
      <w:bookmarkEnd w:id="18"/>
    </w:p>
    <w:p w:rsidR="002E207A" w:rsidRPr="00B402BF" w:rsidRDefault="002E207A" w:rsidP="00B402BF">
      <w:pPr>
        <w:pStyle w:val="NoSpacing"/>
      </w:pP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57" w:type="dxa"/>
          <w:bottom w:w="57" w:type="dxa"/>
        </w:tblCellMar>
        <w:tblLook w:val="00A0" w:firstRow="1" w:lastRow="0" w:firstColumn="1" w:lastColumn="0" w:noHBand="0" w:noVBand="0"/>
      </w:tblPr>
      <w:tblGrid>
        <w:gridCol w:w="817"/>
        <w:gridCol w:w="2126"/>
        <w:gridCol w:w="2410"/>
        <w:gridCol w:w="2268"/>
        <w:gridCol w:w="1985"/>
        <w:gridCol w:w="2551"/>
        <w:gridCol w:w="2268"/>
      </w:tblGrid>
      <w:tr w:rsidR="002E207A" w:rsidRPr="00A93BAA" w:rsidTr="007649D7">
        <w:trPr>
          <w:tblHeader/>
        </w:trPr>
        <w:tc>
          <w:tcPr>
            <w:tcW w:w="817" w:type="dxa"/>
            <w:shd w:val="clear" w:color="auto" w:fill="C00000"/>
            <w:vAlign w:val="center"/>
          </w:tcPr>
          <w:p w:rsidR="002E207A" w:rsidRPr="00391D4F" w:rsidRDefault="002E207A" w:rsidP="00391D4F">
            <w:pPr>
              <w:contextualSpacing/>
              <w:jc w:val="center"/>
              <w:rPr>
                <w:b/>
                <w:color w:val="FFFFFF"/>
                <w:sz w:val="18"/>
                <w:szCs w:val="18"/>
              </w:rPr>
            </w:pPr>
          </w:p>
        </w:tc>
        <w:tc>
          <w:tcPr>
            <w:tcW w:w="2126" w:type="dxa"/>
            <w:shd w:val="clear" w:color="auto" w:fill="C00000"/>
            <w:vAlign w:val="center"/>
          </w:tcPr>
          <w:p w:rsidR="002E207A" w:rsidRPr="00391D4F" w:rsidRDefault="002E207A" w:rsidP="00391D4F">
            <w:pPr>
              <w:spacing w:after="120" w:line="336" w:lineRule="atLeast"/>
              <w:contextualSpacing/>
              <w:jc w:val="center"/>
              <w:rPr>
                <w:b/>
                <w:color w:val="FFFFFF"/>
                <w:sz w:val="18"/>
                <w:szCs w:val="18"/>
              </w:rPr>
            </w:pPr>
            <w:r w:rsidRPr="00391D4F">
              <w:rPr>
                <w:b/>
                <w:color w:val="FFFFFF"/>
                <w:sz w:val="18"/>
                <w:szCs w:val="18"/>
              </w:rPr>
              <w:t>Effective</w:t>
            </w:r>
          </w:p>
        </w:tc>
        <w:tc>
          <w:tcPr>
            <w:tcW w:w="2410" w:type="dxa"/>
            <w:shd w:val="clear" w:color="auto" w:fill="C00000"/>
            <w:vAlign w:val="center"/>
          </w:tcPr>
          <w:p w:rsidR="002E207A" w:rsidRPr="00391D4F" w:rsidRDefault="002E207A" w:rsidP="00391D4F">
            <w:pPr>
              <w:spacing w:after="120" w:line="336" w:lineRule="atLeast"/>
              <w:contextualSpacing/>
              <w:jc w:val="center"/>
              <w:rPr>
                <w:b/>
                <w:color w:val="FFFFFF"/>
                <w:sz w:val="18"/>
                <w:szCs w:val="18"/>
              </w:rPr>
            </w:pPr>
            <w:r w:rsidRPr="00391D4F">
              <w:rPr>
                <w:b/>
                <w:color w:val="FFFFFF"/>
                <w:sz w:val="18"/>
                <w:szCs w:val="18"/>
              </w:rPr>
              <w:t>Safe</w:t>
            </w:r>
          </w:p>
        </w:tc>
        <w:tc>
          <w:tcPr>
            <w:tcW w:w="2268" w:type="dxa"/>
            <w:shd w:val="clear" w:color="auto" w:fill="C00000"/>
            <w:vAlign w:val="center"/>
          </w:tcPr>
          <w:p w:rsidR="002E207A" w:rsidRPr="00391D4F" w:rsidRDefault="002E207A" w:rsidP="00391D4F">
            <w:pPr>
              <w:spacing w:after="120" w:line="336" w:lineRule="atLeast"/>
              <w:contextualSpacing/>
              <w:jc w:val="center"/>
              <w:rPr>
                <w:b/>
                <w:color w:val="FFFFFF"/>
                <w:sz w:val="18"/>
                <w:szCs w:val="18"/>
              </w:rPr>
            </w:pPr>
            <w:r w:rsidRPr="00391D4F">
              <w:rPr>
                <w:b/>
                <w:color w:val="FFFFFF"/>
                <w:sz w:val="18"/>
                <w:szCs w:val="18"/>
              </w:rPr>
              <w:t>Responsive</w:t>
            </w:r>
          </w:p>
        </w:tc>
        <w:tc>
          <w:tcPr>
            <w:tcW w:w="1985" w:type="dxa"/>
            <w:shd w:val="clear" w:color="auto" w:fill="C00000"/>
            <w:vAlign w:val="center"/>
          </w:tcPr>
          <w:p w:rsidR="002E207A" w:rsidRPr="00391D4F" w:rsidRDefault="002E207A" w:rsidP="00391D4F">
            <w:pPr>
              <w:spacing w:after="120" w:line="336" w:lineRule="atLeast"/>
              <w:contextualSpacing/>
              <w:jc w:val="center"/>
              <w:rPr>
                <w:b/>
                <w:color w:val="FFFFFF"/>
                <w:sz w:val="18"/>
                <w:szCs w:val="18"/>
              </w:rPr>
            </w:pPr>
            <w:r w:rsidRPr="00391D4F">
              <w:rPr>
                <w:b/>
                <w:color w:val="FFFFFF"/>
                <w:sz w:val="18"/>
                <w:szCs w:val="18"/>
              </w:rPr>
              <w:t>Continuous</w:t>
            </w:r>
          </w:p>
        </w:tc>
        <w:tc>
          <w:tcPr>
            <w:tcW w:w="2551" w:type="dxa"/>
            <w:shd w:val="clear" w:color="auto" w:fill="C00000"/>
            <w:vAlign w:val="center"/>
          </w:tcPr>
          <w:p w:rsidR="002E207A" w:rsidRPr="00391D4F" w:rsidRDefault="002E207A" w:rsidP="00391D4F">
            <w:pPr>
              <w:spacing w:after="120" w:line="336" w:lineRule="atLeast"/>
              <w:contextualSpacing/>
              <w:jc w:val="center"/>
              <w:rPr>
                <w:b/>
                <w:color w:val="FFFFFF"/>
                <w:sz w:val="18"/>
                <w:szCs w:val="18"/>
              </w:rPr>
            </w:pPr>
            <w:r w:rsidRPr="00391D4F">
              <w:rPr>
                <w:b/>
                <w:color w:val="FFFFFF"/>
                <w:sz w:val="18"/>
                <w:szCs w:val="18"/>
              </w:rPr>
              <w:t>Accessible</w:t>
            </w:r>
          </w:p>
        </w:tc>
        <w:tc>
          <w:tcPr>
            <w:tcW w:w="2268" w:type="dxa"/>
            <w:shd w:val="clear" w:color="auto" w:fill="C00000"/>
            <w:vAlign w:val="center"/>
          </w:tcPr>
          <w:p w:rsidR="002E207A" w:rsidRPr="00391D4F" w:rsidRDefault="002E207A" w:rsidP="00391D4F">
            <w:pPr>
              <w:spacing w:after="120" w:line="336" w:lineRule="atLeast"/>
              <w:contextualSpacing/>
              <w:jc w:val="center"/>
              <w:rPr>
                <w:b/>
                <w:color w:val="FFFFFF"/>
                <w:sz w:val="18"/>
                <w:szCs w:val="18"/>
              </w:rPr>
            </w:pPr>
            <w:r w:rsidRPr="00391D4F">
              <w:rPr>
                <w:b/>
                <w:color w:val="FFFFFF"/>
                <w:sz w:val="18"/>
                <w:szCs w:val="18"/>
              </w:rPr>
              <w:t>Efficient &amp; Sustainable</w:t>
            </w:r>
          </w:p>
        </w:tc>
      </w:tr>
      <w:tr w:rsidR="002E207A" w:rsidRPr="00A93BAA" w:rsidTr="00391D4F">
        <w:trPr>
          <w:cantSplit/>
          <w:trHeight w:val="1134"/>
        </w:trPr>
        <w:tc>
          <w:tcPr>
            <w:tcW w:w="817" w:type="dxa"/>
            <w:shd w:val="clear" w:color="auto" w:fill="FFD5D5"/>
            <w:textDirection w:val="btLr"/>
            <w:vAlign w:val="center"/>
          </w:tcPr>
          <w:p w:rsidR="002E207A" w:rsidRPr="00391D4F" w:rsidRDefault="002E207A" w:rsidP="00391D4F">
            <w:pPr>
              <w:ind w:left="113" w:right="113"/>
              <w:contextualSpacing/>
              <w:jc w:val="center"/>
              <w:rPr>
                <w:b/>
                <w:color w:val="000000"/>
                <w:sz w:val="18"/>
                <w:szCs w:val="18"/>
              </w:rPr>
            </w:pPr>
            <w:r w:rsidRPr="00391D4F">
              <w:rPr>
                <w:b/>
                <w:color w:val="000000"/>
                <w:sz w:val="18"/>
                <w:szCs w:val="18"/>
              </w:rPr>
              <w:t>Health sector measure</w:t>
            </w:r>
          </w:p>
        </w:tc>
        <w:tc>
          <w:tcPr>
            <w:tcW w:w="2126" w:type="dxa"/>
            <w:shd w:val="clear" w:color="auto" w:fill="F2F2F2"/>
            <w:vAlign w:val="center"/>
          </w:tcPr>
          <w:p w:rsidR="002E207A" w:rsidRPr="00391D4F" w:rsidRDefault="002E207A" w:rsidP="00391D4F">
            <w:pPr>
              <w:spacing w:before="100" w:beforeAutospacing="1" w:after="100" w:afterAutospacing="1"/>
              <w:contextualSpacing/>
              <w:rPr>
                <w:color w:val="000000"/>
                <w:sz w:val="18"/>
                <w:szCs w:val="18"/>
              </w:rPr>
            </w:pPr>
            <w:r w:rsidRPr="00391D4F">
              <w:rPr>
                <w:color w:val="000000"/>
                <w:sz w:val="18"/>
                <w:szCs w:val="18"/>
              </w:rPr>
              <w:t>Care, intervention or action provided is relevant to the client's needs and based on established standards. Care, intervention or action achieves desired outcome.</w:t>
            </w:r>
          </w:p>
        </w:tc>
        <w:tc>
          <w:tcPr>
            <w:tcW w:w="2410" w:type="dxa"/>
            <w:shd w:val="clear" w:color="auto" w:fill="F2F2F2"/>
            <w:vAlign w:val="center"/>
          </w:tcPr>
          <w:p w:rsidR="002E207A" w:rsidRPr="00391D4F" w:rsidRDefault="002E207A" w:rsidP="00391D4F">
            <w:pPr>
              <w:spacing w:before="100" w:beforeAutospacing="1" w:after="100" w:afterAutospacing="1"/>
              <w:contextualSpacing/>
              <w:rPr>
                <w:color w:val="000000"/>
                <w:sz w:val="18"/>
                <w:szCs w:val="18"/>
              </w:rPr>
            </w:pPr>
            <w:r w:rsidRPr="00391D4F">
              <w:rPr>
                <w:color w:val="000000"/>
                <w:sz w:val="18"/>
                <w:szCs w:val="18"/>
              </w:rPr>
              <w:t>The avoidance or reduction to acceptable limits of actual or potential harm from health care management or the environment in which health care is delivered.</w:t>
            </w:r>
          </w:p>
        </w:tc>
        <w:tc>
          <w:tcPr>
            <w:tcW w:w="2268" w:type="dxa"/>
            <w:shd w:val="clear" w:color="auto" w:fill="F2F2F2"/>
            <w:vAlign w:val="center"/>
          </w:tcPr>
          <w:p w:rsidR="002E207A" w:rsidRPr="00391D4F" w:rsidRDefault="002E207A" w:rsidP="00391D4F">
            <w:pPr>
              <w:spacing w:before="100" w:beforeAutospacing="1" w:after="100" w:afterAutospacing="1"/>
              <w:contextualSpacing/>
              <w:rPr>
                <w:color w:val="000000"/>
                <w:sz w:val="18"/>
                <w:szCs w:val="18"/>
              </w:rPr>
            </w:pPr>
            <w:r w:rsidRPr="00391D4F">
              <w:rPr>
                <w:color w:val="000000"/>
                <w:sz w:val="18"/>
                <w:szCs w:val="18"/>
              </w:rPr>
              <w:t>Service is client orientated. Clients are treated with dignity, confidentiality, and encouraged to participate in choices related to their care.</w:t>
            </w:r>
          </w:p>
        </w:tc>
        <w:tc>
          <w:tcPr>
            <w:tcW w:w="1985" w:type="dxa"/>
            <w:shd w:val="clear" w:color="auto" w:fill="F2F2F2"/>
            <w:vAlign w:val="center"/>
          </w:tcPr>
          <w:p w:rsidR="002E207A" w:rsidRPr="00391D4F" w:rsidRDefault="002E207A" w:rsidP="00391D4F">
            <w:pPr>
              <w:spacing w:before="100" w:beforeAutospacing="1" w:after="100" w:afterAutospacing="1"/>
              <w:contextualSpacing/>
              <w:rPr>
                <w:color w:val="000000"/>
                <w:sz w:val="18"/>
                <w:szCs w:val="18"/>
              </w:rPr>
            </w:pPr>
            <w:r w:rsidRPr="00391D4F">
              <w:rPr>
                <w:color w:val="000000"/>
                <w:sz w:val="18"/>
                <w:szCs w:val="18"/>
              </w:rPr>
              <w:t>Ability to provide uninterrupted, coordinated care or service across programs, practitioners, organisations and levels over time.</w:t>
            </w:r>
          </w:p>
        </w:tc>
        <w:tc>
          <w:tcPr>
            <w:tcW w:w="2551" w:type="dxa"/>
            <w:shd w:val="clear" w:color="auto" w:fill="F2F2F2"/>
            <w:vAlign w:val="center"/>
          </w:tcPr>
          <w:p w:rsidR="002E207A" w:rsidRPr="00391D4F" w:rsidRDefault="002E207A" w:rsidP="00391D4F">
            <w:pPr>
              <w:spacing w:before="100" w:beforeAutospacing="1" w:after="100" w:afterAutospacing="1"/>
              <w:contextualSpacing/>
              <w:rPr>
                <w:color w:val="000000"/>
                <w:sz w:val="18"/>
                <w:szCs w:val="18"/>
              </w:rPr>
            </w:pPr>
            <w:r w:rsidRPr="00391D4F">
              <w:rPr>
                <w:color w:val="000000"/>
                <w:sz w:val="18"/>
                <w:szCs w:val="18"/>
              </w:rPr>
              <w:t>People can obtain health care at the right place and time irrespective of income, physical location and cultural background.</w:t>
            </w:r>
          </w:p>
        </w:tc>
        <w:tc>
          <w:tcPr>
            <w:tcW w:w="2268" w:type="dxa"/>
            <w:shd w:val="clear" w:color="auto" w:fill="F2F2F2"/>
            <w:vAlign w:val="center"/>
          </w:tcPr>
          <w:p w:rsidR="002E207A" w:rsidRPr="00391D4F" w:rsidRDefault="002E207A" w:rsidP="00391D4F">
            <w:pPr>
              <w:spacing w:before="100" w:beforeAutospacing="1" w:after="100" w:afterAutospacing="1"/>
              <w:contextualSpacing/>
              <w:rPr>
                <w:color w:val="000000"/>
                <w:sz w:val="18"/>
                <w:szCs w:val="18"/>
              </w:rPr>
            </w:pPr>
            <w:r w:rsidRPr="00391D4F">
              <w:rPr>
                <w:color w:val="000000"/>
                <w:sz w:val="18"/>
                <w:szCs w:val="18"/>
              </w:rPr>
              <w:t>Achieving desired results with cost effective use of resources. Capacity of system to sustain workforce and infrastructure, to innovate and respond to emerging needs.</w:t>
            </w:r>
          </w:p>
        </w:tc>
      </w:tr>
      <w:tr w:rsidR="002E207A" w:rsidRPr="00A93BAA" w:rsidTr="00391D4F">
        <w:trPr>
          <w:cantSplit/>
          <w:trHeight w:val="1134"/>
        </w:trPr>
        <w:tc>
          <w:tcPr>
            <w:tcW w:w="817" w:type="dxa"/>
            <w:shd w:val="clear" w:color="auto" w:fill="FFD5D5"/>
            <w:textDirection w:val="btLr"/>
            <w:vAlign w:val="center"/>
          </w:tcPr>
          <w:p w:rsidR="002E207A" w:rsidRPr="00391D4F" w:rsidRDefault="002E207A" w:rsidP="00391D4F">
            <w:pPr>
              <w:ind w:left="113" w:right="113"/>
              <w:contextualSpacing/>
              <w:jc w:val="center"/>
              <w:rPr>
                <w:b/>
                <w:color w:val="000000"/>
                <w:sz w:val="18"/>
                <w:szCs w:val="18"/>
              </w:rPr>
            </w:pPr>
            <w:r w:rsidRPr="00391D4F">
              <w:rPr>
                <w:b/>
                <w:color w:val="000000"/>
                <w:sz w:val="18"/>
                <w:szCs w:val="18"/>
              </w:rPr>
              <w:t>Blood sector measure</w:t>
            </w:r>
          </w:p>
        </w:tc>
        <w:tc>
          <w:tcPr>
            <w:tcW w:w="2126" w:type="dxa"/>
            <w:shd w:val="clear" w:color="auto" w:fill="F2F2F2"/>
            <w:vAlign w:val="center"/>
          </w:tcPr>
          <w:p w:rsidR="002E207A" w:rsidRPr="00391D4F" w:rsidRDefault="002E207A" w:rsidP="00391D4F">
            <w:pPr>
              <w:spacing w:before="100" w:beforeAutospacing="1" w:after="100" w:afterAutospacing="1"/>
              <w:contextualSpacing/>
              <w:rPr>
                <w:color w:val="000000"/>
                <w:sz w:val="18"/>
                <w:szCs w:val="18"/>
              </w:rPr>
            </w:pPr>
            <w:r w:rsidRPr="00391D4F">
              <w:rPr>
                <w:color w:val="000000"/>
                <w:sz w:val="18"/>
                <w:szCs w:val="18"/>
              </w:rPr>
              <w:t>Appropriate blood products are provided to eligible patients.</w:t>
            </w:r>
          </w:p>
        </w:tc>
        <w:tc>
          <w:tcPr>
            <w:tcW w:w="2410" w:type="dxa"/>
            <w:shd w:val="clear" w:color="auto" w:fill="F2F2F2"/>
            <w:vAlign w:val="center"/>
          </w:tcPr>
          <w:p w:rsidR="002E207A" w:rsidRPr="00391D4F" w:rsidRDefault="002E207A" w:rsidP="00DC14A5">
            <w:pPr>
              <w:spacing w:before="100" w:beforeAutospacing="1" w:after="100" w:afterAutospacing="1"/>
              <w:contextualSpacing/>
              <w:rPr>
                <w:color w:val="000000"/>
                <w:sz w:val="18"/>
                <w:szCs w:val="18"/>
              </w:rPr>
            </w:pPr>
            <w:r w:rsidRPr="00391D4F">
              <w:rPr>
                <w:color w:val="000000"/>
                <w:sz w:val="18"/>
                <w:szCs w:val="18"/>
              </w:rPr>
              <w:t xml:space="preserve">Safe blood products are administered safely by accredited </w:t>
            </w:r>
            <w:r w:rsidR="00DC14A5">
              <w:rPr>
                <w:color w:val="000000"/>
                <w:sz w:val="18"/>
                <w:szCs w:val="18"/>
              </w:rPr>
              <w:t>health providers</w:t>
            </w:r>
            <w:r w:rsidRPr="00391D4F">
              <w:rPr>
                <w:color w:val="000000"/>
                <w:sz w:val="18"/>
                <w:szCs w:val="18"/>
              </w:rPr>
              <w:t>. Adverse events are reported and acted upon.</w:t>
            </w:r>
          </w:p>
        </w:tc>
        <w:tc>
          <w:tcPr>
            <w:tcW w:w="2268" w:type="dxa"/>
            <w:shd w:val="clear" w:color="auto" w:fill="F2F2F2"/>
            <w:vAlign w:val="center"/>
          </w:tcPr>
          <w:p w:rsidR="002E207A" w:rsidRPr="00391D4F" w:rsidRDefault="002E207A" w:rsidP="00391D4F">
            <w:pPr>
              <w:spacing w:before="100" w:beforeAutospacing="1" w:after="100" w:afterAutospacing="1"/>
              <w:contextualSpacing/>
              <w:rPr>
                <w:color w:val="000000"/>
                <w:sz w:val="18"/>
                <w:szCs w:val="18"/>
              </w:rPr>
            </w:pPr>
            <w:r w:rsidRPr="00391D4F">
              <w:rPr>
                <w:color w:val="000000"/>
                <w:sz w:val="18"/>
                <w:szCs w:val="18"/>
              </w:rPr>
              <w:t>Patients consent to treatment with blood products, and are provided with appropriate information and feedback mechanisms.</w:t>
            </w:r>
          </w:p>
        </w:tc>
        <w:tc>
          <w:tcPr>
            <w:tcW w:w="1985" w:type="dxa"/>
            <w:shd w:val="clear" w:color="auto" w:fill="F2F2F2"/>
            <w:vAlign w:val="center"/>
          </w:tcPr>
          <w:p w:rsidR="002E207A" w:rsidRPr="00391D4F" w:rsidRDefault="002E207A" w:rsidP="00391D4F">
            <w:pPr>
              <w:spacing w:before="100" w:beforeAutospacing="1" w:after="100" w:afterAutospacing="1"/>
              <w:contextualSpacing/>
              <w:rPr>
                <w:color w:val="000000"/>
                <w:sz w:val="18"/>
                <w:szCs w:val="18"/>
              </w:rPr>
            </w:pPr>
            <w:r w:rsidRPr="00391D4F">
              <w:rPr>
                <w:color w:val="000000"/>
                <w:sz w:val="18"/>
                <w:szCs w:val="18"/>
              </w:rPr>
              <w:t>Donor welfare is ensured while addressing donor sustainability.</w:t>
            </w:r>
          </w:p>
          <w:p w:rsidR="002E207A" w:rsidRPr="00391D4F" w:rsidRDefault="002E207A" w:rsidP="00391D4F">
            <w:pPr>
              <w:spacing w:before="100" w:beforeAutospacing="1" w:after="100" w:afterAutospacing="1"/>
              <w:contextualSpacing/>
              <w:rPr>
                <w:color w:val="000000"/>
                <w:sz w:val="18"/>
                <w:szCs w:val="18"/>
              </w:rPr>
            </w:pPr>
            <w:r w:rsidRPr="00391D4F">
              <w:rPr>
                <w:color w:val="000000"/>
                <w:sz w:val="18"/>
                <w:szCs w:val="18"/>
              </w:rPr>
              <w:t>Supply of blood products is secure.</w:t>
            </w:r>
          </w:p>
        </w:tc>
        <w:tc>
          <w:tcPr>
            <w:tcW w:w="2551" w:type="dxa"/>
            <w:shd w:val="clear" w:color="auto" w:fill="F2F2F2"/>
            <w:vAlign w:val="center"/>
          </w:tcPr>
          <w:p w:rsidR="002E207A" w:rsidRPr="00391D4F" w:rsidRDefault="002E207A" w:rsidP="00391D4F">
            <w:pPr>
              <w:spacing w:before="100" w:beforeAutospacing="1" w:after="100" w:afterAutospacing="1"/>
              <w:contextualSpacing/>
              <w:rPr>
                <w:color w:val="000000"/>
                <w:sz w:val="18"/>
                <w:szCs w:val="18"/>
              </w:rPr>
            </w:pPr>
            <w:r w:rsidRPr="00391D4F">
              <w:rPr>
                <w:color w:val="000000"/>
                <w:sz w:val="18"/>
                <w:szCs w:val="18"/>
              </w:rPr>
              <w:t>Blood products are available to meet clinical demand.</w:t>
            </w:r>
          </w:p>
        </w:tc>
        <w:tc>
          <w:tcPr>
            <w:tcW w:w="2268" w:type="dxa"/>
            <w:shd w:val="clear" w:color="auto" w:fill="F2F2F2"/>
            <w:vAlign w:val="center"/>
          </w:tcPr>
          <w:p w:rsidR="002E207A" w:rsidRPr="00391D4F" w:rsidRDefault="002E207A" w:rsidP="00391D4F">
            <w:pPr>
              <w:spacing w:before="100" w:beforeAutospacing="1" w:after="100" w:afterAutospacing="1"/>
              <w:contextualSpacing/>
              <w:rPr>
                <w:color w:val="000000"/>
                <w:sz w:val="18"/>
                <w:szCs w:val="18"/>
              </w:rPr>
            </w:pPr>
            <w:r w:rsidRPr="00391D4F">
              <w:rPr>
                <w:color w:val="000000"/>
                <w:sz w:val="18"/>
                <w:szCs w:val="18"/>
              </w:rPr>
              <w:t>An efficient supply chain delivers affordable blood products.</w:t>
            </w:r>
          </w:p>
        </w:tc>
      </w:tr>
      <w:tr w:rsidR="002E207A" w:rsidRPr="00A93BAA" w:rsidTr="00391D4F">
        <w:trPr>
          <w:cantSplit/>
          <w:trHeight w:val="1134"/>
        </w:trPr>
        <w:tc>
          <w:tcPr>
            <w:tcW w:w="817" w:type="dxa"/>
            <w:shd w:val="clear" w:color="auto" w:fill="FFD5D5"/>
            <w:textDirection w:val="btLr"/>
            <w:vAlign w:val="center"/>
          </w:tcPr>
          <w:p w:rsidR="002E207A" w:rsidRPr="00391D4F" w:rsidRDefault="002E207A" w:rsidP="00391D4F">
            <w:pPr>
              <w:ind w:left="113" w:right="113"/>
              <w:contextualSpacing/>
              <w:jc w:val="center"/>
              <w:rPr>
                <w:b/>
                <w:color w:val="000000"/>
                <w:sz w:val="18"/>
                <w:szCs w:val="18"/>
              </w:rPr>
            </w:pPr>
            <w:r w:rsidRPr="00391D4F">
              <w:rPr>
                <w:b/>
                <w:color w:val="000000"/>
                <w:sz w:val="18"/>
                <w:szCs w:val="18"/>
              </w:rPr>
              <w:t>Rationale</w:t>
            </w:r>
          </w:p>
        </w:tc>
        <w:tc>
          <w:tcPr>
            <w:tcW w:w="2126" w:type="dxa"/>
            <w:shd w:val="clear" w:color="auto" w:fill="F2F2F2"/>
            <w:vAlign w:val="center"/>
          </w:tcPr>
          <w:p w:rsidR="002E207A" w:rsidRPr="00391D4F" w:rsidRDefault="002E207A" w:rsidP="00391D4F">
            <w:pPr>
              <w:spacing w:before="100" w:beforeAutospacing="1" w:after="100" w:afterAutospacing="1"/>
              <w:contextualSpacing/>
              <w:rPr>
                <w:color w:val="000000"/>
                <w:sz w:val="18"/>
                <w:szCs w:val="18"/>
              </w:rPr>
            </w:pPr>
            <w:r w:rsidRPr="00391D4F">
              <w:rPr>
                <w:color w:val="000000"/>
                <w:sz w:val="18"/>
                <w:szCs w:val="18"/>
              </w:rPr>
              <w:t>The administration of blood product is an intervention.</w:t>
            </w:r>
          </w:p>
          <w:p w:rsidR="002E207A" w:rsidRPr="00391D4F" w:rsidRDefault="002E207A" w:rsidP="00391D4F">
            <w:pPr>
              <w:spacing w:before="100" w:beforeAutospacing="1" w:after="100" w:afterAutospacing="1"/>
              <w:contextualSpacing/>
              <w:rPr>
                <w:color w:val="000000"/>
                <w:sz w:val="18"/>
                <w:szCs w:val="18"/>
              </w:rPr>
            </w:pPr>
            <w:r w:rsidRPr="00391D4F">
              <w:rPr>
                <w:color w:val="000000"/>
                <w:sz w:val="18"/>
                <w:szCs w:val="18"/>
              </w:rPr>
              <w:t>Guidelines provide established standards against which the relevance of product to a client’s need can be determined (patient eligibility).</w:t>
            </w:r>
          </w:p>
          <w:p w:rsidR="002E207A" w:rsidRPr="00391D4F" w:rsidRDefault="002E207A" w:rsidP="00391D4F">
            <w:pPr>
              <w:spacing w:before="100" w:beforeAutospacing="1" w:after="100" w:afterAutospacing="1"/>
              <w:contextualSpacing/>
              <w:rPr>
                <w:color w:val="000000"/>
                <w:sz w:val="18"/>
                <w:szCs w:val="18"/>
              </w:rPr>
            </w:pPr>
            <w:r w:rsidRPr="00391D4F">
              <w:rPr>
                <w:color w:val="000000"/>
                <w:sz w:val="18"/>
                <w:szCs w:val="18"/>
              </w:rPr>
              <w:t>Additional appropriateness criteria may apply for products which are costly or in short supply.</w:t>
            </w:r>
          </w:p>
          <w:p w:rsidR="002E207A" w:rsidRPr="00391D4F" w:rsidRDefault="002E207A" w:rsidP="00391D4F">
            <w:pPr>
              <w:spacing w:before="100" w:beforeAutospacing="1" w:after="100" w:afterAutospacing="1"/>
              <w:contextualSpacing/>
              <w:rPr>
                <w:color w:val="000000"/>
                <w:sz w:val="18"/>
                <w:szCs w:val="18"/>
              </w:rPr>
            </w:pPr>
            <w:r w:rsidRPr="00391D4F">
              <w:rPr>
                <w:color w:val="000000"/>
                <w:sz w:val="18"/>
                <w:szCs w:val="18"/>
              </w:rPr>
              <w:t>The outcome is product administered to an eligible patient.</w:t>
            </w:r>
          </w:p>
        </w:tc>
        <w:tc>
          <w:tcPr>
            <w:tcW w:w="2410" w:type="dxa"/>
            <w:shd w:val="clear" w:color="auto" w:fill="F2F2F2"/>
            <w:vAlign w:val="center"/>
          </w:tcPr>
          <w:p w:rsidR="002E207A" w:rsidRPr="00391D4F" w:rsidRDefault="002E207A" w:rsidP="00391D4F">
            <w:pPr>
              <w:spacing w:before="100" w:beforeAutospacing="1" w:after="100" w:afterAutospacing="1"/>
              <w:contextualSpacing/>
              <w:rPr>
                <w:color w:val="000000"/>
                <w:sz w:val="18"/>
                <w:szCs w:val="18"/>
              </w:rPr>
            </w:pPr>
            <w:r w:rsidRPr="00391D4F">
              <w:rPr>
                <w:color w:val="000000"/>
                <w:sz w:val="18"/>
                <w:szCs w:val="18"/>
              </w:rPr>
              <w:t>A transfusion/infusion episode is safe if did not result in actual or potential harm to the patient. Adverse event reporting provides a direct measure of safety.</w:t>
            </w:r>
          </w:p>
          <w:p w:rsidR="002E207A" w:rsidRPr="00391D4F" w:rsidRDefault="002E207A" w:rsidP="00DC14A5">
            <w:pPr>
              <w:spacing w:before="100" w:beforeAutospacing="1" w:after="100" w:afterAutospacing="1"/>
              <w:contextualSpacing/>
              <w:rPr>
                <w:color w:val="000000"/>
                <w:sz w:val="18"/>
                <w:szCs w:val="18"/>
              </w:rPr>
            </w:pPr>
            <w:r w:rsidRPr="00391D4F">
              <w:rPr>
                <w:color w:val="000000"/>
                <w:sz w:val="18"/>
                <w:szCs w:val="18"/>
              </w:rPr>
              <w:t>Lower level indicators may be developed to address the processes used to reduce the risk of an adverse event occurring, including measures of product safety and accreditation and process improvements achieved by health providers.</w:t>
            </w:r>
          </w:p>
        </w:tc>
        <w:tc>
          <w:tcPr>
            <w:tcW w:w="2268" w:type="dxa"/>
            <w:shd w:val="clear" w:color="auto" w:fill="F2F2F2"/>
            <w:vAlign w:val="center"/>
          </w:tcPr>
          <w:p w:rsidR="002E207A" w:rsidRPr="00391D4F" w:rsidRDefault="002E207A" w:rsidP="00391D4F">
            <w:pPr>
              <w:spacing w:before="100" w:beforeAutospacing="1" w:after="100" w:afterAutospacing="1"/>
              <w:contextualSpacing/>
              <w:rPr>
                <w:color w:val="000000"/>
                <w:sz w:val="18"/>
                <w:szCs w:val="18"/>
              </w:rPr>
            </w:pPr>
            <w:r w:rsidRPr="00391D4F">
              <w:rPr>
                <w:color w:val="000000"/>
                <w:sz w:val="18"/>
                <w:szCs w:val="18"/>
              </w:rPr>
              <w:t>A standard is currently being developed on the information to be provided to patients and carers on risks and benefits of using products and available alternatives.</w:t>
            </w:r>
          </w:p>
          <w:p w:rsidR="002E207A" w:rsidRPr="00391D4F" w:rsidRDefault="002E207A" w:rsidP="00391D4F">
            <w:pPr>
              <w:tabs>
                <w:tab w:val="left" w:pos="259"/>
              </w:tabs>
              <w:spacing w:before="100" w:beforeAutospacing="1" w:after="100" w:afterAutospacing="1"/>
              <w:contextualSpacing/>
              <w:rPr>
                <w:color w:val="000000"/>
                <w:sz w:val="18"/>
                <w:szCs w:val="18"/>
              </w:rPr>
            </w:pPr>
            <w:r w:rsidRPr="00391D4F">
              <w:rPr>
                <w:color w:val="000000"/>
                <w:sz w:val="18"/>
                <w:szCs w:val="18"/>
              </w:rPr>
              <w:t>Informed consent must be obtained for all product administration.</w:t>
            </w:r>
          </w:p>
        </w:tc>
        <w:tc>
          <w:tcPr>
            <w:tcW w:w="1985" w:type="dxa"/>
            <w:shd w:val="clear" w:color="auto" w:fill="F2F2F2"/>
            <w:vAlign w:val="center"/>
          </w:tcPr>
          <w:p w:rsidR="002E207A" w:rsidRPr="00391D4F" w:rsidRDefault="002E207A" w:rsidP="00391D4F">
            <w:pPr>
              <w:spacing w:before="100" w:beforeAutospacing="1" w:after="100" w:afterAutospacing="1"/>
              <w:contextualSpacing/>
              <w:rPr>
                <w:color w:val="000000"/>
                <w:sz w:val="18"/>
                <w:szCs w:val="18"/>
              </w:rPr>
            </w:pPr>
            <w:r w:rsidRPr="00391D4F">
              <w:rPr>
                <w:color w:val="000000"/>
                <w:sz w:val="18"/>
                <w:szCs w:val="18"/>
              </w:rPr>
              <w:t>The blood sector is subject to short</w:t>
            </w:r>
            <w:r w:rsidRPr="00391D4F">
              <w:rPr>
                <w:color w:val="000000"/>
                <w:sz w:val="18"/>
                <w:szCs w:val="18"/>
              </w:rPr>
              <w:noBreakHyphen/>
              <w:t xml:space="preserve">term supply disruptions, for example due to product safety issues and variability in global demand and supply. </w:t>
            </w:r>
          </w:p>
          <w:p w:rsidR="002E207A" w:rsidRPr="00391D4F" w:rsidRDefault="002E207A" w:rsidP="00391D4F">
            <w:pPr>
              <w:spacing w:before="100" w:beforeAutospacing="1" w:after="100" w:afterAutospacing="1"/>
              <w:contextualSpacing/>
              <w:rPr>
                <w:color w:val="000000"/>
                <w:sz w:val="18"/>
                <w:szCs w:val="18"/>
              </w:rPr>
            </w:pPr>
            <w:r w:rsidRPr="00391D4F">
              <w:rPr>
                <w:color w:val="000000"/>
                <w:sz w:val="18"/>
                <w:szCs w:val="18"/>
              </w:rPr>
              <w:t>A secure supply of blood services is a primary objective of the National Blood Agreement, and to achieve this suppliers are required to hold product in reserve to ensure supply continuity.</w:t>
            </w:r>
          </w:p>
        </w:tc>
        <w:tc>
          <w:tcPr>
            <w:tcW w:w="2551" w:type="dxa"/>
            <w:shd w:val="clear" w:color="auto" w:fill="F2F2F2"/>
            <w:vAlign w:val="center"/>
          </w:tcPr>
          <w:p w:rsidR="002E207A" w:rsidRPr="00391D4F" w:rsidRDefault="002E207A" w:rsidP="00391D4F">
            <w:pPr>
              <w:tabs>
                <w:tab w:val="left" w:pos="171"/>
              </w:tabs>
              <w:spacing w:before="100" w:beforeAutospacing="1" w:after="100" w:afterAutospacing="1"/>
              <w:contextualSpacing/>
              <w:rPr>
                <w:color w:val="000000"/>
                <w:sz w:val="18"/>
                <w:szCs w:val="18"/>
              </w:rPr>
            </w:pPr>
            <w:r w:rsidRPr="00391D4F">
              <w:rPr>
                <w:color w:val="000000"/>
                <w:sz w:val="18"/>
                <w:szCs w:val="18"/>
              </w:rPr>
              <w:t>Access implies that people in need of care actually receive services. Treatment rates should be compared with need.</w:t>
            </w:r>
          </w:p>
          <w:p w:rsidR="002E207A" w:rsidRPr="00391D4F" w:rsidRDefault="002E207A" w:rsidP="00391D4F">
            <w:pPr>
              <w:tabs>
                <w:tab w:val="left" w:pos="171"/>
              </w:tabs>
              <w:spacing w:before="100" w:beforeAutospacing="1" w:after="100" w:afterAutospacing="1"/>
              <w:contextualSpacing/>
              <w:rPr>
                <w:color w:val="000000"/>
                <w:sz w:val="18"/>
                <w:szCs w:val="18"/>
              </w:rPr>
            </w:pPr>
            <w:r w:rsidRPr="00391D4F">
              <w:rPr>
                <w:color w:val="000000"/>
                <w:sz w:val="18"/>
                <w:szCs w:val="18"/>
              </w:rPr>
              <w:t>Access also implies geographical proximity so that services are delivered in a way that minimises dislocation of the consumer from family and local supports.</w:t>
            </w:r>
          </w:p>
          <w:p w:rsidR="002E207A" w:rsidRPr="00391D4F" w:rsidRDefault="002E207A" w:rsidP="00391D4F">
            <w:pPr>
              <w:tabs>
                <w:tab w:val="left" w:pos="171"/>
              </w:tabs>
              <w:spacing w:before="100" w:beforeAutospacing="1" w:after="100" w:afterAutospacing="1"/>
              <w:contextualSpacing/>
              <w:rPr>
                <w:color w:val="000000"/>
                <w:sz w:val="18"/>
                <w:szCs w:val="18"/>
              </w:rPr>
            </w:pPr>
            <w:r w:rsidRPr="00391D4F">
              <w:rPr>
                <w:color w:val="000000"/>
                <w:sz w:val="18"/>
                <w:szCs w:val="18"/>
              </w:rPr>
              <w:t>A third meaning concerns timeliness, or responding to needs when they arise.</w:t>
            </w:r>
          </w:p>
        </w:tc>
        <w:tc>
          <w:tcPr>
            <w:tcW w:w="2268" w:type="dxa"/>
            <w:shd w:val="clear" w:color="auto" w:fill="F2F2F2"/>
            <w:vAlign w:val="center"/>
          </w:tcPr>
          <w:p w:rsidR="002E207A" w:rsidRPr="00391D4F" w:rsidRDefault="002E207A" w:rsidP="00391D4F">
            <w:pPr>
              <w:spacing w:before="100" w:beforeAutospacing="1" w:after="100" w:afterAutospacing="1"/>
              <w:contextualSpacing/>
              <w:rPr>
                <w:color w:val="000000"/>
                <w:sz w:val="18"/>
                <w:szCs w:val="18"/>
              </w:rPr>
            </w:pPr>
            <w:r w:rsidRPr="00391D4F">
              <w:rPr>
                <w:color w:val="000000"/>
                <w:sz w:val="18"/>
                <w:szCs w:val="18"/>
              </w:rPr>
              <w:t xml:space="preserve">At the national level, cost and volume of product measure affordability and sustainability respectively. </w:t>
            </w:r>
          </w:p>
          <w:p w:rsidR="002E207A" w:rsidRPr="00391D4F" w:rsidRDefault="002E207A" w:rsidP="00391D4F">
            <w:pPr>
              <w:spacing w:before="100" w:beforeAutospacing="1" w:after="100" w:afterAutospacing="1"/>
              <w:contextualSpacing/>
              <w:rPr>
                <w:color w:val="000000"/>
                <w:sz w:val="18"/>
                <w:szCs w:val="18"/>
              </w:rPr>
            </w:pPr>
            <w:r w:rsidRPr="00391D4F">
              <w:rPr>
                <w:color w:val="000000"/>
                <w:sz w:val="18"/>
                <w:szCs w:val="18"/>
              </w:rPr>
              <w:t>An efficient blood sector must also meet clinical need by providing health providers with adequate blood product, as determined by jurisdictions.</w:t>
            </w:r>
          </w:p>
          <w:p w:rsidR="002E207A" w:rsidRPr="00391D4F" w:rsidRDefault="002E207A" w:rsidP="00391D4F">
            <w:pPr>
              <w:spacing w:before="100" w:beforeAutospacing="1" w:after="100" w:afterAutospacing="1"/>
              <w:contextualSpacing/>
              <w:rPr>
                <w:color w:val="000000"/>
                <w:sz w:val="18"/>
                <w:szCs w:val="18"/>
              </w:rPr>
            </w:pPr>
            <w:r w:rsidRPr="00391D4F">
              <w:rPr>
                <w:color w:val="000000"/>
                <w:sz w:val="18"/>
                <w:szCs w:val="18"/>
              </w:rPr>
              <w:t>Wastage is a lower level measure of both efficiency and sustainability which is currently a particular focus of the blood sector.</w:t>
            </w:r>
          </w:p>
        </w:tc>
      </w:tr>
    </w:tbl>
    <w:p w:rsidR="002E207A" w:rsidRDefault="002E207A" w:rsidP="00A04E07">
      <w:pPr>
        <w:sectPr w:rsidR="002E207A" w:rsidSect="00A04E07">
          <w:pgSz w:w="16838" w:h="11906" w:orient="landscape" w:code="9"/>
          <w:pgMar w:top="1080" w:right="1276" w:bottom="1608" w:left="1276" w:header="720" w:footer="382" w:gutter="0"/>
          <w:cols w:space="720"/>
          <w:docGrid w:linePitch="360"/>
        </w:sectPr>
      </w:pPr>
    </w:p>
    <w:p w:rsidR="002E207A" w:rsidRDefault="002E207A" w:rsidP="00B402BF">
      <w:pPr>
        <w:pStyle w:val="Heading3"/>
      </w:pPr>
      <w:bookmarkStart w:id="19" w:name="_Toc343432039"/>
      <w:r>
        <w:lastRenderedPageBreak/>
        <w:t xml:space="preserve">Table </w:t>
      </w:r>
      <w:r w:rsidR="00A74103">
        <w:fldChar w:fldCharType="begin"/>
      </w:r>
      <w:r w:rsidR="00A74103">
        <w:instrText xml:space="preserve"> SEQ Table \* ARABIC </w:instrText>
      </w:r>
      <w:r w:rsidR="00A74103">
        <w:fldChar w:fldCharType="separate"/>
      </w:r>
      <w:r w:rsidR="00C82CE1">
        <w:rPr>
          <w:noProof/>
        </w:rPr>
        <w:t>3</w:t>
      </w:r>
      <w:r w:rsidR="00A74103">
        <w:rPr>
          <w:noProof/>
        </w:rPr>
        <w:fldChar w:fldCharType="end"/>
      </w:r>
      <w:r>
        <w:t>. Blood Sector Performance Scorecard – Supply Data</w:t>
      </w:r>
      <w:bookmarkEnd w:id="19"/>
    </w:p>
    <w:p w:rsidR="002E207A" w:rsidRPr="00B402BF" w:rsidRDefault="002E207A" w:rsidP="00B402BF">
      <w:pPr>
        <w:pStyle w:val="NoSpacing"/>
      </w:pPr>
    </w:p>
    <w:tbl>
      <w:tblPr>
        <w:tblW w:w="494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57" w:type="dxa"/>
          <w:bottom w:w="57" w:type="dxa"/>
        </w:tblCellMar>
        <w:tblLook w:val="00A0" w:firstRow="1" w:lastRow="0" w:firstColumn="1" w:lastColumn="0" w:noHBand="0" w:noVBand="0"/>
      </w:tblPr>
      <w:tblGrid>
        <w:gridCol w:w="1239"/>
        <w:gridCol w:w="8083"/>
      </w:tblGrid>
      <w:tr w:rsidR="002E207A" w:rsidRPr="00AE0E24" w:rsidTr="007649D7">
        <w:trPr>
          <w:tblHeader/>
        </w:trPr>
        <w:tc>
          <w:tcPr>
            <w:tcW w:w="1134" w:type="dxa"/>
            <w:shd w:val="clear" w:color="auto" w:fill="C00000"/>
            <w:vAlign w:val="center"/>
          </w:tcPr>
          <w:p w:rsidR="002E207A" w:rsidRPr="00391D4F" w:rsidRDefault="002E207A" w:rsidP="00391D4F">
            <w:pPr>
              <w:contextualSpacing/>
              <w:jc w:val="center"/>
              <w:rPr>
                <w:b/>
                <w:color w:val="FFFFFF"/>
                <w:sz w:val="20"/>
                <w:szCs w:val="20"/>
              </w:rPr>
            </w:pPr>
            <w:r w:rsidRPr="00391D4F">
              <w:rPr>
                <w:b/>
                <w:color w:val="FFFFFF"/>
                <w:sz w:val="20"/>
                <w:szCs w:val="20"/>
              </w:rPr>
              <w:t>Criteria</w:t>
            </w:r>
          </w:p>
        </w:tc>
        <w:tc>
          <w:tcPr>
            <w:tcW w:w="7689" w:type="dxa"/>
            <w:shd w:val="clear" w:color="auto" w:fill="C00000"/>
            <w:vAlign w:val="center"/>
          </w:tcPr>
          <w:p w:rsidR="002E207A" w:rsidRPr="00391D4F" w:rsidRDefault="002E207A" w:rsidP="00391D4F">
            <w:pPr>
              <w:contextualSpacing/>
              <w:jc w:val="center"/>
              <w:rPr>
                <w:b/>
                <w:color w:val="FFFFFF"/>
                <w:sz w:val="20"/>
                <w:szCs w:val="20"/>
              </w:rPr>
            </w:pPr>
            <w:r w:rsidRPr="00391D4F">
              <w:rPr>
                <w:b/>
                <w:color w:val="FFFFFF"/>
                <w:sz w:val="20"/>
                <w:szCs w:val="20"/>
              </w:rPr>
              <w:t>Measures</w:t>
            </w:r>
          </w:p>
        </w:tc>
      </w:tr>
      <w:tr w:rsidR="002E207A" w:rsidRPr="00AE0E24" w:rsidTr="00391D4F">
        <w:trPr>
          <w:trHeight w:val="991"/>
        </w:trPr>
        <w:tc>
          <w:tcPr>
            <w:tcW w:w="1134" w:type="dxa"/>
            <w:shd w:val="clear" w:color="auto" w:fill="FFD5D5"/>
            <w:vAlign w:val="center"/>
          </w:tcPr>
          <w:p w:rsidR="002E207A" w:rsidRPr="00391D4F" w:rsidRDefault="002E207A" w:rsidP="00B402BF">
            <w:pPr>
              <w:contextualSpacing/>
              <w:rPr>
                <w:b/>
                <w:color w:val="000000"/>
                <w:sz w:val="20"/>
                <w:szCs w:val="20"/>
              </w:rPr>
            </w:pPr>
            <w:r w:rsidRPr="00391D4F">
              <w:rPr>
                <w:b/>
                <w:color w:val="000000"/>
                <w:sz w:val="20"/>
                <w:szCs w:val="20"/>
              </w:rPr>
              <w:t>Effective</w:t>
            </w:r>
          </w:p>
        </w:tc>
        <w:tc>
          <w:tcPr>
            <w:tcW w:w="7689" w:type="dxa"/>
            <w:shd w:val="clear" w:color="auto" w:fill="F2F2F2"/>
          </w:tcPr>
          <w:p w:rsidR="002E207A" w:rsidRPr="00DC14A5" w:rsidRDefault="002E207A" w:rsidP="00DC14A5">
            <w:pPr>
              <w:pStyle w:val="ListParagraph"/>
              <w:numPr>
                <w:ilvl w:val="0"/>
                <w:numId w:val="16"/>
              </w:numPr>
              <w:spacing w:after="120"/>
              <w:rPr>
                <w:b/>
                <w:sz w:val="20"/>
                <w:szCs w:val="20"/>
              </w:rPr>
            </w:pPr>
            <w:r w:rsidRPr="00DC14A5">
              <w:rPr>
                <w:color w:val="000000"/>
                <w:sz w:val="20"/>
                <w:szCs w:val="20"/>
              </w:rPr>
              <w:t>Number of unique donors per annum†(2013</w:t>
            </w:r>
            <w:r w:rsidRPr="00DC14A5">
              <w:rPr>
                <w:color w:val="000000"/>
                <w:sz w:val="20"/>
                <w:szCs w:val="20"/>
              </w:rPr>
              <w:noBreakHyphen/>
              <w:t>14). Frequency of Donation†(2013</w:t>
            </w:r>
            <w:r w:rsidRPr="00DC14A5">
              <w:rPr>
                <w:color w:val="000000"/>
                <w:sz w:val="20"/>
                <w:szCs w:val="20"/>
              </w:rPr>
              <w:noBreakHyphen/>
              <w:t xml:space="preserve">14) </w:t>
            </w:r>
          </w:p>
          <w:p w:rsidR="00071BB8" w:rsidRPr="00071BB8" w:rsidRDefault="002E207A" w:rsidP="009050F2">
            <w:pPr>
              <w:pStyle w:val="ListParagraph"/>
              <w:numPr>
                <w:ilvl w:val="0"/>
                <w:numId w:val="18"/>
              </w:numPr>
              <w:spacing w:after="120"/>
              <w:rPr>
                <w:b/>
                <w:sz w:val="20"/>
                <w:szCs w:val="20"/>
              </w:rPr>
            </w:pPr>
            <w:r w:rsidRPr="009050F2">
              <w:rPr>
                <w:color w:val="000000"/>
                <w:sz w:val="20"/>
                <w:szCs w:val="20"/>
              </w:rPr>
              <w:t xml:space="preserve">Variance between actual demand </w:t>
            </w:r>
            <w:r w:rsidR="00DC14A5" w:rsidRPr="009050F2">
              <w:rPr>
                <w:color w:val="000000"/>
                <w:sz w:val="20"/>
                <w:szCs w:val="20"/>
              </w:rPr>
              <w:t xml:space="preserve">(based on orders by health providers) </w:t>
            </w:r>
            <w:r w:rsidRPr="009050F2">
              <w:rPr>
                <w:color w:val="000000"/>
                <w:sz w:val="20"/>
                <w:szCs w:val="20"/>
              </w:rPr>
              <w:t>for blood products</w:t>
            </w:r>
            <w:r w:rsidR="009050F2" w:rsidRPr="00A25195">
              <w:rPr>
                <w:color w:val="000000"/>
                <w:sz w:val="20"/>
                <w:szCs w:val="20"/>
              </w:rPr>
              <w:t xml:space="preserve"> and actual supply by product type (based on receipts by health providers</w:t>
            </w:r>
            <w:r w:rsidRPr="00A25195">
              <w:rPr>
                <w:color w:val="000000"/>
                <w:sz w:val="20"/>
                <w:szCs w:val="20"/>
              </w:rPr>
              <w:t>† (2013</w:t>
            </w:r>
            <w:r w:rsidRPr="00A25195">
              <w:rPr>
                <w:color w:val="000000"/>
                <w:sz w:val="20"/>
                <w:szCs w:val="20"/>
              </w:rPr>
              <w:noBreakHyphen/>
              <w:t>14)</w:t>
            </w:r>
          </w:p>
          <w:p w:rsidR="002E207A" w:rsidRPr="009050F2" w:rsidRDefault="002E207A" w:rsidP="009050F2">
            <w:pPr>
              <w:pStyle w:val="ListParagraph"/>
              <w:numPr>
                <w:ilvl w:val="0"/>
                <w:numId w:val="18"/>
              </w:numPr>
              <w:spacing w:after="120"/>
              <w:rPr>
                <w:b/>
                <w:sz w:val="20"/>
                <w:szCs w:val="20"/>
              </w:rPr>
            </w:pPr>
            <w:r w:rsidRPr="009050F2">
              <w:rPr>
                <w:color w:val="000000"/>
                <w:sz w:val="20"/>
                <w:szCs w:val="20"/>
              </w:rPr>
              <w:t>Conversion rate of blood collection to supply†</w:t>
            </w:r>
            <w:r w:rsidR="001F45C9">
              <w:rPr>
                <w:color w:val="000000"/>
                <w:sz w:val="20"/>
                <w:szCs w:val="20"/>
              </w:rPr>
              <w:t xml:space="preserve"> </w:t>
            </w:r>
            <w:r w:rsidRPr="009050F2">
              <w:rPr>
                <w:color w:val="000000"/>
                <w:sz w:val="20"/>
                <w:szCs w:val="20"/>
              </w:rPr>
              <w:t>(2013</w:t>
            </w:r>
            <w:r w:rsidRPr="009050F2">
              <w:rPr>
                <w:color w:val="000000"/>
                <w:sz w:val="20"/>
                <w:szCs w:val="20"/>
              </w:rPr>
              <w:noBreakHyphen/>
              <w:t xml:space="preserve">14). </w:t>
            </w:r>
          </w:p>
          <w:p w:rsidR="002E207A" w:rsidRPr="00391D4F" w:rsidRDefault="002E207A" w:rsidP="009050F2">
            <w:pPr>
              <w:pStyle w:val="ListParagraph"/>
              <w:numPr>
                <w:ilvl w:val="0"/>
                <w:numId w:val="16"/>
              </w:numPr>
              <w:spacing w:after="120"/>
              <w:rPr>
                <w:b/>
                <w:sz w:val="20"/>
                <w:szCs w:val="20"/>
              </w:rPr>
            </w:pPr>
            <w:r w:rsidRPr="00391D4F">
              <w:rPr>
                <w:color w:val="000000"/>
                <w:sz w:val="20"/>
                <w:szCs w:val="20"/>
              </w:rPr>
              <w:t>Donor retention rate above 75%†(2013</w:t>
            </w:r>
            <w:r w:rsidRPr="00391D4F">
              <w:rPr>
                <w:color w:val="000000"/>
                <w:sz w:val="20"/>
                <w:szCs w:val="20"/>
              </w:rPr>
              <w:noBreakHyphen/>
              <w:t>14)</w:t>
            </w:r>
            <w:r>
              <w:rPr>
                <w:color w:val="000000"/>
                <w:sz w:val="20"/>
                <w:szCs w:val="20"/>
              </w:rPr>
              <w:t xml:space="preserve">  </w:t>
            </w:r>
          </w:p>
        </w:tc>
      </w:tr>
      <w:tr w:rsidR="002E207A" w:rsidRPr="00AE0E24" w:rsidTr="00391D4F">
        <w:tc>
          <w:tcPr>
            <w:tcW w:w="1134" w:type="dxa"/>
            <w:shd w:val="clear" w:color="auto" w:fill="FFD5D5"/>
            <w:vAlign w:val="center"/>
          </w:tcPr>
          <w:p w:rsidR="002E207A" w:rsidRPr="00391D4F" w:rsidRDefault="002E207A" w:rsidP="00B402BF">
            <w:pPr>
              <w:contextualSpacing/>
              <w:rPr>
                <w:b/>
                <w:color w:val="000000"/>
                <w:sz w:val="20"/>
                <w:szCs w:val="20"/>
              </w:rPr>
            </w:pPr>
            <w:r w:rsidRPr="00391D4F">
              <w:rPr>
                <w:b/>
                <w:color w:val="000000"/>
                <w:sz w:val="20"/>
                <w:szCs w:val="20"/>
              </w:rPr>
              <w:t>Safe</w:t>
            </w:r>
          </w:p>
        </w:tc>
        <w:tc>
          <w:tcPr>
            <w:tcW w:w="7689" w:type="dxa"/>
            <w:shd w:val="clear" w:color="auto" w:fill="F2F2F2"/>
          </w:tcPr>
          <w:p w:rsidR="002E207A" w:rsidRPr="00391D4F" w:rsidRDefault="002E207A" w:rsidP="00391D4F">
            <w:pPr>
              <w:pStyle w:val="ListParagraph"/>
              <w:numPr>
                <w:ilvl w:val="0"/>
                <w:numId w:val="16"/>
              </w:numPr>
              <w:spacing w:after="120"/>
              <w:rPr>
                <w:b/>
                <w:sz w:val="20"/>
                <w:szCs w:val="20"/>
              </w:rPr>
            </w:pPr>
            <w:r w:rsidRPr="00391D4F">
              <w:rPr>
                <w:color w:val="000000"/>
                <w:sz w:val="20"/>
                <w:szCs w:val="20"/>
              </w:rPr>
              <w:t>Donations rejected as a result of  testing less than 1%†(2013</w:t>
            </w:r>
            <w:r w:rsidRPr="00391D4F">
              <w:rPr>
                <w:color w:val="000000"/>
                <w:sz w:val="20"/>
                <w:szCs w:val="20"/>
              </w:rPr>
              <w:noBreakHyphen/>
              <w:t>14)</w:t>
            </w:r>
          </w:p>
          <w:p w:rsidR="002E207A" w:rsidRPr="00391D4F" w:rsidRDefault="002E207A" w:rsidP="00391D4F">
            <w:pPr>
              <w:pStyle w:val="ListParagraph"/>
              <w:numPr>
                <w:ilvl w:val="0"/>
                <w:numId w:val="16"/>
              </w:numPr>
              <w:spacing w:after="120"/>
              <w:rPr>
                <w:b/>
                <w:sz w:val="20"/>
                <w:szCs w:val="20"/>
              </w:rPr>
            </w:pPr>
            <w:r w:rsidRPr="00391D4F">
              <w:rPr>
                <w:color w:val="000000"/>
                <w:sz w:val="20"/>
                <w:szCs w:val="20"/>
              </w:rPr>
              <w:t>Blood component recalls less than 0.5%† (2013</w:t>
            </w:r>
            <w:r w:rsidRPr="00391D4F">
              <w:rPr>
                <w:color w:val="000000"/>
                <w:sz w:val="20"/>
                <w:szCs w:val="20"/>
              </w:rPr>
              <w:noBreakHyphen/>
              <w:t>14)</w:t>
            </w:r>
          </w:p>
          <w:p w:rsidR="002E207A" w:rsidRPr="00B6332E" w:rsidRDefault="002E207A" w:rsidP="00391D4F">
            <w:pPr>
              <w:pStyle w:val="ListParagraph"/>
              <w:numPr>
                <w:ilvl w:val="0"/>
                <w:numId w:val="16"/>
              </w:numPr>
              <w:spacing w:after="120"/>
              <w:rPr>
                <w:b/>
                <w:sz w:val="20"/>
                <w:szCs w:val="20"/>
              </w:rPr>
            </w:pPr>
            <w:r w:rsidRPr="00391D4F">
              <w:rPr>
                <w:color w:val="000000"/>
                <w:sz w:val="20"/>
                <w:szCs w:val="20"/>
              </w:rPr>
              <w:t>Plasma and recombinant product recalls activated less than 2 times per year‽ (2013-14)</w:t>
            </w:r>
          </w:p>
          <w:p w:rsidR="002E207A" w:rsidRPr="00391D4F" w:rsidRDefault="009050F2" w:rsidP="009050F2">
            <w:pPr>
              <w:pStyle w:val="ListParagraph"/>
              <w:numPr>
                <w:ilvl w:val="0"/>
                <w:numId w:val="16"/>
              </w:numPr>
              <w:spacing w:after="120"/>
              <w:rPr>
                <w:b/>
                <w:sz w:val="20"/>
                <w:szCs w:val="20"/>
              </w:rPr>
            </w:pPr>
            <w:r>
              <w:rPr>
                <w:color w:val="000000"/>
                <w:sz w:val="20"/>
                <w:szCs w:val="20"/>
              </w:rPr>
              <w:t>Donor adverse events reported</w:t>
            </w:r>
            <w:r w:rsidRPr="00391D4F">
              <w:rPr>
                <w:color w:val="000000"/>
                <w:sz w:val="20"/>
                <w:szCs w:val="20"/>
              </w:rPr>
              <w:t>†(2013</w:t>
            </w:r>
            <w:r w:rsidRPr="00391D4F">
              <w:rPr>
                <w:color w:val="000000"/>
                <w:sz w:val="20"/>
                <w:szCs w:val="20"/>
              </w:rPr>
              <w:noBreakHyphen/>
              <w:t>14)</w:t>
            </w:r>
            <w:r w:rsidR="002E207A">
              <w:rPr>
                <w:color w:val="000000"/>
                <w:sz w:val="20"/>
                <w:szCs w:val="20"/>
              </w:rPr>
              <w:t xml:space="preserve"> </w:t>
            </w:r>
          </w:p>
        </w:tc>
      </w:tr>
      <w:tr w:rsidR="002E207A" w:rsidRPr="00AE0E24" w:rsidTr="00391D4F">
        <w:tc>
          <w:tcPr>
            <w:tcW w:w="1134" w:type="dxa"/>
            <w:shd w:val="clear" w:color="auto" w:fill="FFD5D5"/>
            <w:vAlign w:val="center"/>
          </w:tcPr>
          <w:p w:rsidR="002E207A" w:rsidRPr="00391D4F" w:rsidRDefault="002E207A" w:rsidP="00B402BF">
            <w:pPr>
              <w:contextualSpacing/>
              <w:rPr>
                <w:b/>
                <w:color w:val="000000"/>
                <w:sz w:val="20"/>
                <w:szCs w:val="20"/>
              </w:rPr>
            </w:pPr>
            <w:r w:rsidRPr="00391D4F">
              <w:rPr>
                <w:b/>
                <w:color w:val="000000"/>
                <w:sz w:val="20"/>
                <w:szCs w:val="20"/>
              </w:rPr>
              <w:t>Responsive</w:t>
            </w:r>
          </w:p>
        </w:tc>
        <w:tc>
          <w:tcPr>
            <w:tcW w:w="7689" w:type="dxa"/>
            <w:shd w:val="clear" w:color="auto" w:fill="F2F2F2"/>
          </w:tcPr>
          <w:p w:rsidR="002E207A" w:rsidRPr="00391D4F" w:rsidRDefault="002E207A" w:rsidP="00391D4F">
            <w:pPr>
              <w:pStyle w:val="ListParagraph"/>
              <w:numPr>
                <w:ilvl w:val="0"/>
                <w:numId w:val="16"/>
              </w:numPr>
              <w:spacing w:after="120"/>
              <w:rPr>
                <w:b/>
                <w:sz w:val="20"/>
                <w:szCs w:val="20"/>
              </w:rPr>
            </w:pPr>
            <w:r w:rsidRPr="00391D4F">
              <w:rPr>
                <w:color w:val="000000"/>
                <w:sz w:val="20"/>
                <w:szCs w:val="20"/>
              </w:rPr>
              <w:t xml:space="preserve">Annual </w:t>
            </w:r>
            <w:r w:rsidR="009050F2">
              <w:rPr>
                <w:color w:val="000000"/>
                <w:sz w:val="20"/>
                <w:szCs w:val="20"/>
              </w:rPr>
              <w:t>health provider</w:t>
            </w:r>
            <w:r w:rsidRPr="00391D4F">
              <w:rPr>
                <w:color w:val="000000"/>
                <w:sz w:val="20"/>
                <w:szCs w:val="20"/>
              </w:rPr>
              <w:t xml:space="preserve"> Blood Service questionnaire report†(2013</w:t>
            </w:r>
            <w:r w:rsidRPr="00391D4F">
              <w:rPr>
                <w:color w:val="000000"/>
                <w:sz w:val="20"/>
                <w:szCs w:val="20"/>
              </w:rPr>
              <w:noBreakHyphen/>
              <w:t>14)</w:t>
            </w:r>
          </w:p>
          <w:p w:rsidR="002E207A" w:rsidRPr="00391D4F" w:rsidRDefault="002E207A" w:rsidP="00391D4F">
            <w:pPr>
              <w:pStyle w:val="ListParagraph"/>
              <w:numPr>
                <w:ilvl w:val="0"/>
                <w:numId w:val="16"/>
              </w:numPr>
              <w:spacing w:after="120"/>
              <w:rPr>
                <w:b/>
                <w:sz w:val="20"/>
                <w:szCs w:val="20"/>
              </w:rPr>
            </w:pPr>
            <w:r w:rsidRPr="00391D4F">
              <w:rPr>
                <w:color w:val="000000"/>
                <w:sz w:val="20"/>
                <w:szCs w:val="20"/>
              </w:rPr>
              <w:t xml:space="preserve">Percentage of </w:t>
            </w:r>
            <w:r w:rsidR="009050F2">
              <w:rPr>
                <w:color w:val="000000"/>
                <w:sz w:val="20"/>
                <w:szCs w:val="20"/>
              </w:rPr>
              <w:t>health providers</w:t>
            </w:r>
            <w:r w:rsidRPr="00391D4F">
              <w:rPr>
                <w:color w:val="000000"/>
                <w:sz w:val="20"/>
                <w:szCs w:val="20"/>
              </w:rPr>
              <w:t xml:space="preserve"> with local contingency supply arrangements in place⁞ (201</w:t>
            </w:r>
            <w:r w:rsidR="003B7753">
              <w:rPr>
                <w:color w:val="000000"/>
                <w:sz w:val="20"/>
                <w:szCs w:val="20"/>
              </w:rPr>
              <w:t>5</w:t>
            </w:r>
            <w:r w:rsidRPr="00391D4F">
              <w:rPr>
                <w:color w:val="000000"/>
                <w:sz w:val="20"/>
                <w:szCs w:val="20"/>
              </w:rPr>
              <w:noBreakHyphen/>
              <w:t>1</w:t>
            </w:r>
            <w:r w:rsidR="003B7753">
              <w:rPr>
                <w:color w:val="000000"/>
                <w:sz w:val="20"/>
                <w:szCs w:val="20"/>
              </w:rPr>
              <w:t>6</w:t>
            </w:r>
            <w:r w:rsidRPr="00391D4F">
              <w:rPr>
                <w:color w:val="000000"/>
                <w:sz w:val="20"/>
                <w:szCs w:val="20"/>
              </w:rPr>
              <w:t>)</w:t>
            </w:r>
          </w:p>
          <w:p w:rsidR="002E207A" w:rsidRPr="00391D4F" w:rsidRDefault="002E207A" w:rsidP="00391D4F">
            <w:pPr>
              <w:pStyle w:val="ListParagraph"/>
              <w:numPr>
                <w:ilvl w:val="0"/>
                <w:numId w:val="16"/>
              </w:numPr>
              <w:spacing w:after="120"/>
              <w:rPr>
                <w:b/>
                <w:sz w:val="20"/>
                <w:szCs w:val="20"/>
              </w:rPr>
            </w:pPr>
            <w:r w:rsidRPr="00391D4F">
              <w:rPr>
                <w:color w:val="000000"/>
                <w:sz w:val="20"/>
                <w:szCs w:val="20"/>
              </w:rPr>
              <w:t>Number of days of In</w:t>
            </w:r>
            <w:r w:rsidRPr="00391D4F">
              <w:rPr>
                <w:color w:val="000000"/>
                <w:sz w:val="20"/>
                <w:szCs w:val="20"/>
              </w:rPr>
              <w:noBreakHyphen/>
              <w:t>Country blood product stock reserves‽ (2013</w:t>
            </w:r>
            <w:r w:rsidRPr="00391D4F">
              <w:rPr>
                <w:color w:val="000000"/>
                <w:sz w:val="20"/>
                <w:szCs w:val="20"/>
              </w:rPr>
              <w:noBreakHyphen/>
              <w:t>14)</w:t>
            </w:r>
          </w:p>
          <w:p w:rsidR="002E207A" w:rsidRPr="00391D4F" w:rsidRDefault="002E207A" w:rsidP="009050F2">
            <w:pPr>
              <w:pStyle w:val="ListParagraph"/>
              <w:numPr>
                <w:ilvl w:val="0"/>
                <w:numId w:val="19"/>
              </w:numPr>
              <w:spacing w:after="120"/>
              <w:rPr>
                <w:b/>
                <w:sz w:val="20"/>
                <w:szCs w:val="20"/>
              </w:rPr>
            </w:pPr>
            <w:r w:rsidRPr="00391D4F">
              <w:rPr>
                <w:color w:val="000000"/>
                <w:sz w:val="20"/>
                <w:szCs w:val="20"/>
              </w:rPr>
              <w:t>Number of urgent and life threatening orders fulfilled‽ (2013</w:t>
            </w:r>
            <w:r w:rsidRPr="00391D4F">
              <w:rPr>
                <w:color w:val="000000"/>
                <w:sz w:val="20"/>
                <w:szCs w:val="20"/>
              </w:rPr>
              <w:noBreakHyphen/>
              <w:t>14)</w:t>
            </w:r>
            <w:r>
              <w:rPr>
                <w:color w:val="000000"/>
                <w:sz w:val="20"/>
                <w:szCs w:val="20"/>
              </w:rPr>
              <w:t xml:space="preserve"> </w:t>
            </w:r>
          </w:p>
        </w:tc>
      </w:tr>
      <w:tr w:rsidR="002E207A" w:rsidRPr="00AE0E24" w:rsidTr="00391D4F">
        <w:tc>
          <w:tcPr>
            <w:tcW w:w="1134" w:type="dxa"/>
            <w:shd w:val="clear" w:color="auto" w:fill="FFD5D5"/>
            <w:vAlign w:val="center"/>
          </w:tcPr>
          <w:p w:rsidR="002E207A" w:rsidRPr="00391D4F" w:rsidRDefault="002E207A" w:rsidP="00B402BF">
            <w:pPr>
              <w:contextualSpacing/>
              <w:rPr>
                <w:b/>
                <w:color w:val="000000"/>
                <w:sz w:val="20"/>
                <w:szCs w:val="20"/>
              </w:rPr>
            </w:pPr>
            <w:r w:rsidRPr="00391D4F">
              <w:rPr>
                <w:b/>
                <w:color w:val="000000"/>
                <w:sz w:val="20"/>
                <w:szCs w:val="20"/>
              </w:rPr>
              <w:t>Continuous</w:t>
            </w:r>
          </w:p>
        </w:tc>
        <w:tc>
          <w:tcPr>
            <w:tcW w:w="7689" w:type="dxa"/>
            <w:shd w:val="clear" w:color="auto" w:fill="F2F2F2"/>
          </w:tcPr>
          <w:p w:rsidR="003B7753" w:rsidRPr="003B7753" w:rsidRDefault="002E207A" w:rsidP="009A67BD">
            <w:pPr>
              <w:pStyle w:val="ListParagraph"/>
              <w:numPr>
                <w:ilvl w:val="0"/>
                <w:numId w:val="19"/>
              </w:numPr>
              <w:spacing w:after="120"/>
              <w:rPr>
                <w:b/>
                <w:sz w:val="20"/>
                <w:szCs w:val="20"/>
              </w:rPr>
            </w:pPr>
            <w:r w:rsidRPr="00391D4F">
              <w:rPr>
                <w:color w:val="000000"/>
                <w:sz w:val="20"/>
                <w:szCs w:val="20"/>
              </w:rPr>
              <w:t>Number of days of Global Committed stock reserves‽ (2013</w:t>
            </w:r>
            <w:r w:rsidRPr="00391D4F">
              <w:rPr>
                <w:color w:val="000000"/>
                <w:sz w:val="20"/>
                <w:szCs w:val="20"/>
              </w:rPr>
              <w:noBreakHyphen/>
              <w:t>14)</w:t>
            </w:r>
            <w:r w:rsidR="009A67BD" w:rsidDel="009A67BD">
              <w:rPr>
                <w:color w:val="000000"/>
                <w:sz w:val="20"/>
                <w:szCs w:val="20"/>
              </w:rPr>
              <w:t xml:space="preserve"> </w:t>
            </w:r>
          </w:p>
          <w:p w:rsidR="002E207A" w:rsidRPr="00391D4F" w:rsidRDefault="002E207A" w:rsidP="009A67BD">
            <w:pPr>
              <w:pStyle w:val="ListParagraph"/>
              <w:numPr>
                <w:ilvl w:val="0"/>
                <w:numId w:val="19"/>
              </w:numPr>
              <w:spacing w:after="120"/>
              <w:rPr>
                <w:b/>
                <w:sz w:val="20"/>
                <w:szCs w:val="20"/>
              </w:rPr>
            </w:pPr>
            <w:r w:rsidRPr="00391D4F">
              <w:rPr>
                <w:color w:val="000000"/>
                <w:sz w:val="20"/>
                <w:szCs w:val="20"/>
              </w:rPr>
              <w:t>Percentage of suppliers with NBA approved risk management plans* (2013</w:t>
            </w:r>
            <w:r w:rsidRPr="00391D4F">
              <w:rPr>
                <w:color w:val="000000"/>
                <w:sz w:val="20"/>
                <w:szCs w:val="20"/>
              </w:rPr>
              <w:noBreakHyphen/>
              <w:t>14)</w:t>
            </w:r>
            <w:r>
              <w:rPr>
                <w:color w:val="000000"/>
                <w:sz w:val="20"/>
                <w:szCs w:val="20"/>
              </w:rPr>
              <w:t xml:space="preserve"> </w:t>
            </w:r>
          </w:p>
          <w:p w:rsidR="002E207A" w:rsidRPr="00391D4F" w:rsidRDefault="002E207A" w:rsidP="00391D4F">
            <w:pPr>
              <w:pStyle w:val="ListParagraph"/>
              <w:numPr>
                <w:ilvl w:val="0"/>
                <w:numId w:val="18"/>
              </w:numPr>
              <w:spacing w:after="120"/>
              <w:rPr>
                <w:b/>
                <w:sz w:val="20"/>
                <w:szCs w:val="20"/>
              </w:rPr>
            </w:pPr>
            <w:r w:rsidRPr="00391D4F">
              <w:rPr>
                <w:color w:val="000000"/>
                <w:sz w:val="20"/>
                <w:szCs w:val="20"/>
              </w:rPr>
              <w:t xml:space="preserve">Percentage of stock out incidents at </w:t>
            </w:r>
            <w:r w:rsidR="009A67BD">
              <w:rPr>
                <w:color w:val="000000"/>
                <w:sz w:val="20"/>
                <w:szCs w:val="20"/>
              </w:rPr>
              <w:t>health providers</w:t>
            </w:r>
            <w:r w:rsidRPr="00391D4F">
              <w:rPr>
                <w:color w:val="000000"/>
                <w:sz w:val="20"/>
                <w:szCs w:val="20"/>
              </w:rPr>
              <w:t>⁞ (2013</w:t>
            </w:r>
            <w:r w:rsidRPr="00391D4F">
              <w:rPr>
                <w:color w:val="000000"/>
                <w:sz w:val="20"/>
                <w:szCs w:val="20"/>
              </w:rPr>
              <w:noBreakHyphen/>
              <w:t>14)</w:t>
            </w:r>
          </w:p>
          <w:p w:rsidR="002E207A" w:rsidRPr="00391D4F" w:rsidRDefault="002E207A" w:rsidP="00391D4F">
            <w:pPr>
              <w:pStyle w:val="ListParagraph"/>
              <w:numPr>
                <w:ilvl w:val="0"/>
                <w:numId w:val="18"/>
              </w:numPr>
              <w:spacing w:after="120"/>
              <w:rPr>
                <w:b/>
                <w:sz w:val="20"/>
                <w:szCs w:val="20"/>
              </w:rPr>
            </w:pPr>
            <w:r w:rsidRPr="00391D4F">
              <w:rPr>
                <w:color w:val="000000"/>
                <w:sz w:val="20"/>
                <w:szCs w:val="20"/>
              </w:rPr>
              <w:t>NBSCP is activated less than 5 days per year* (2013</w:t>
            </w:r>
            <w:r w:rsidRPr="00391D4F">
              <w:rPr>
                <w:color w:val="000000"/>
                <w:sz w:val="20"/>
                <w:szCs w:val="20"/>
              </w:rPr>
              <w:noBreakHyphen/>
              <w:t>14)</w:t>
            </w:r>
          </w:p>
          <w:p w:rsidR="002E207A" w:rsidRPr="00391D4F" w:rsidRDefault="002E207A" w:rsidP="00391D4F">
            <w:pPr>
              <w:pStyle w:val="ListParagraph"/>
              <w:numPr>
                <w:ilvl w:val="0"/>
                <w:numId w:val="18"/>
              </w:numPr>
              <w:spacing w:after="120"/>
              <w:rPr>
                <w:b/>
                <w:sz w:val="20"/>
                <w:szCs w:val="20"/>
              </w:rPr>
            </w:pPr>
            <w:r w:rsidRPr="00391D4F">
              <w:rPr>
                <w:color w:val="000000"/>
                <w:sz w:val="20"/>
                <w:szCs w:val="20"/>
              </w:rPr>
              <w:t>Deliveries made In</w:t>
            </w:r>
            <w:r w:rsidRPr="00391D4F">
              <w:rPr>
                <w:color w:val="000000"/>
                <w:sz w:val="20"/>
                <w:szCs w:val="20"/>
              </w:rPr>
              <w:noBreakHyphen/>
              <w:t>Full</w:t>
            </w:r>
            <w:r w:rsidRPr="00391D4F">
              <w:rPr>
                <w:color w:val="000000"/>
                <w:sz w:val="20"/>
                <w:szCs w:val="20"/>
              </w:rPr>
              <w:noBreakHyphen/>
              <w:t>On</w:t>
            </w:r>
            <w:r w:rsidRPr="00391D4F">
              <w:rPr>
                <w:color w:val="000000"/>
                <w:sz w:val="20"/>
                <w:szCs w:val="20"/>
              </w:rPr>
              <w:noBreakHyphen/>
              <w:t>Time &gt;95%‽ (2013</w:t>
            </w:r>
            <w:r w:rsidRPr="00391D4F">
              <w:rPr>
                <w:color w:val="000000"/>
                <w:sz w:val="20"/>
                <w:szCs w:val="20"/>
              </w:rPr>
              <w:noBreakHyphen/>
              <w:t>14)</w:t>
            </w:r>
          </w:p>
          <w:p w:rsidR="002E207A" w:rsidRPr="00391D4F" w:rsidRDefault="002E207A" w:rsidP="00391D4F">
            <w:pPr>
              <w:pStyle w:val="ListParagraph"/>
              <w:numPr>
                <w:ilvl w:val="0"/>
                <w:numId w:val="16"/>
              </w:numPr>
              <w:spacing w:after="120"/>
              <w:rPr>
                <w:b/>
                <w:sz w:val="20"/>
                <w:szCs w:val="20"/>
              </w:rPr>
            </w:pPr>
            <w:r w:rsidRPr="00391D4F">
              <w:rPr>
                <w:color w:val="000000"/>
                <w:sz w:val="20"/>
                <w:szCs w:val="20"/>
              </w:rPr>
              <w:t>98% of stock delivered within desired Minimum Shelf Life‽ (2013</w:t>
            </w:r>
            <w:r w:rsidRPr="00391D4F">
              <w:rPr>
                <w:color w:val="000000"/>
                <w:sz w:val="20"/>
                <w:szCs w:val="20"/>
              </w:rPr>
              <w:noBreakHyphen/>
              <w:t>14)</w:t>
            </w:r>
          </w:p>
        </w:tc>
      </w:tr>
      <w:tr w:rsidR="002E207A" w:rsidRPr="00AE0E24" w:rsidTr="00391D4F">
        <w:tc>
          <w:tcPr>
            <w:tcW w:w="1134" w:type="dxa"/>
            <w:shd w:val="clear" w:color="auto" w:fill="FFD5D5"/>
            <w:vAlign w:val="center"/>
          </w:tcPr>
          <w:p w:rsidR="002E207A" w:rsidRPr="00391D4F" w:rsidRDefault="002E207A" w:rsidP="00B402BF">
            <w:pPr>
              <w:contextualSpacing/>
              <w:rPr>
                <w:b/>
                <w:color w:val="000000"/>
                <w:sz w:val="20"/>
                <w:szCs w:val="20"/>
              </w:rPr>
            </w:pPr>
            <w:r w:rsidRPr="00391D4F">
              <w:rPr>
                <w:b/>
                <w:color w:val="000000"/>
                <w:sz w:val="20"/>
                <w:szCs w:val="20"/>
              </w:rPr>
              <w:t>Accessible</w:t>
            </w:r>
          </w:p>
        </w:tc>
        <w:tc>
          <w:tcPr>
            <w:tcW w:w="7689" w:type="dxa"/>
            <w:shd w:val="clear" w:color="auto" w:fill="F2F2F2"/>
          </w:tcPr>
          <w:p w:rsidR="002E207A" w:rsidRPr="00391D4F" w:rsidRDefault="002E207A" w:rsidP="00391D4F">
            <w:pPr>
              <w:pStyle w:val="ListParagraph"/>
              <w:numPr>
                <w:ilvl w:val="0"/>
                <w:numId w:val="16"/>
              </w:numPr>
              <w:spacing w:after="120"/>
              <w:rPr>
                <w:b/>
                <w:sz w:val="20"/>
                <w:szCs w:val="20"/>
              </w:rPr>
            </w:pPr>
            <w:r w:rsidRPr="00391D4F">
              <w:rPr>
                <w:color w:val="000000"/>
                <w:sz w:val="20"/>
                <w:szCs w:val="20"/>
              </w:rPr>
              <w:t>National yield of plasma for fractionation† (2013</w:t>
            </w:r>
            <w:r w:rsidRPr="00391D4F">
              <w:rPr>
                <w:color w:val="000000"/>
                <w:sz w:val="20"/>
                <w:szCs w:val="20"/>
              </w:rPr>
              <w:noBreakHyphen/>
              <w:t>14)</w:t>
            </w:r>
            <w:r>
              <w:rPr>
                <w:color w:val="000000"/>
                <w:sz w:val="20"/>
                <w:szCs w:val="20"/>
              </w:rPr>
              <w:t xml:space="preserve"> </w:t>
            </w:r>
          </w:p>
          <w:p w:rsidR="002E207A" w:rsidRPr="00391D4F" w:rsidRDefault="002E207A" w:rsidP="00391D4F">
            <w:pPr>
              <w:pStyle w:val="ListParagraph"/>
              <w:numPr>
                <w:ilvl w:val="0"/>
                <w:numId w:val="16"/>
              </w:numPr>
              <w:spacing w:after="120"/>
              <w:rPr>
                <w:b/>
                <w:sz w:val="20"/>
                <w:szCs w:val="20"/>
              </w:rPr>
            </w:pPr>
            <w:r w:rsidRPr="00391D4F">
              <w:rPr>
                <w:color w:val="000000"/>
                <w:sz w:val="20"/>
                <w:szCs w:val="20"/>
              </w:rPr>
              <w:t>Percentage of suppliers with blood product inventory levels maintained at required contractual levels‽ (2013</w:t>
            </w:r>
            <w:r w:rsidRPr="00391D4F">
              <w:rPr>
                <w:color w:val="000000"/>
                <w:sz w:val="20"/>
                <w:szCs w:val="20"/>
              </w:rPr>
              <w:noBreakHyphen/>
              <w:t>14)</w:t>
            </w:r>
          </w:p>
          <w:p w:rsidR="002E207A" w:rsidRPr="00391D4F" w:rsidRDefault="002E207A" w:rsidP="003B7753">
            <w:pPr>
              <w:pStyle w:val="ListParagraph"/>
              <w:numPr>
                <w:ilvl w:val="0"/>
                <w:numId w:val="16"/>
              </w:numPr>
              <w:spacing w:after="120"/>
              <w:rPr>
                <w:b/>
                <w:sz w:val="20"/>
                <w:szCs w:val="20"/>
              </w:rPr>
            </w:pPr>
            <w:r w:rsidRPr="00391D4F">
              <w:rPr>
                <w:color w:val="000000"/>
                <w:sz w:val="20"/>
                <w:szCs w:val="20"/>
              </w:rPr>
              <w:t>Number of days national blood component inventory falls below agreed triggers* (201</w:t>
            </w:r>
            <w:r w:rsidR="003B7753">
              <w:rPr>
                <w:color w:val="000000"/>
                <w:sz w:val="20"/>
                <w:szCs w:val="20"/>
              </w:rPr>
              <w:t>4</w:t>
            </w:r>
            <w:r w:rsidRPr="00391D4F">
              <w:rPr>
                <w:color w:val="000000"/>
                <w:sz w:val="20"/>
                <w:szCs w:val="20"/>
              </w:rPr>
              <w:noBreakHyphen/>
              <w:t>1</w:t>
            </w:r>
            <w:r w:rsidR="003B7753">
              <w:rPr>
                <w:color w:val="000000"/>
                <w:sz w:val="20"/>
                <w:szCs w:val="20"/>
              </w:rPr>
              <w:t>5</w:t>
            </w:r>
            <w:r w:rsidRPr="00391D4F">
              <w:rPr>
                <w:color w:val="000000"/>
                <w:sz w:val="20"/>
                <w:szCs w:val="20"/>
              </w:rPr>
              <w:t>)</w:t>
            </w:r>
          </w:p>
        </w:tc>
      </w:tr>
      <w:tr w:rsidR="002E207A" w:rsidRPr="00AE0E24" w:rsidTr="00391D4F">
        <w:tc>
          <w:tcPr>
            <w:tcW w:w="1134" w:type="dxa"/>
            <w:shd w:val="clear" w:color="auto" w:fill="FFD5D5"/>
            <w:vAlign w:val="center"/>
          </w:tcPr>
          <w:p w:rsidR="002E207A" w:rsidRPr="00391D4F" w:rsidRDefault="002E207A" w:rsidP="00B402BF">
            <w:pPr>
              <w:contextualSpacing/>
              <w:rPr>
                <w:b/>
                <w:color w:val="000000"/>
                <w:sz w:val="20"/>
                <w:szCs w:val="20"/>
              </w:rPr>
            </w:pPr>
            <w:r w:rsidRPr="00391D4F">
              <w:rPr>
                <w:b/>
                <w:color w:val="000000"/>
                <w:sz w:val="20"/>
                <w:szCs w:val="20"/>
              </w:rPr>
              <w:t>Efficient and Sustainable</w:t>
            </w:r>
          </w:p>
        </w:tc>
        <w:tc>
          <w:tcPr>
            <w:tcW w:w="7689" w:type="dxa"/>
            <w:shd w:val="clear" w:color="auto" w:fill="F2F2F2"/>
          </w:tcPr>
          <w:p w:rsidR="002E207A" w:rsidRPr="00391D4F" w:rsidRDefault="002E207A" w:rsidP="00391D4F">
            <w:pPr>
              <w:pStyle w:val="ListParagraph"/>
              <w:numPr>
                <w:ilvl w:val="0"/>
                <w:numId w:val="16"/>
              </w:numPr>
              <w:spacing w:after="120"/>
              <w:rPr>
                <w:b/>
                <w:color w:val="000000"/>
                <w:sz w:val="20"/>
                <w:szCs w:val="20"/>
              </w:rPr>
            </w:pPr>
            <w:r w:rsidRPr="00391D4F">
              <w:rPr>
                <w:color w:val="000000"/>
                <w:sz w:val="20"/>
                <w:szCs w:val="20"/>
              </w:rPr>
              <w:t>Percentage yields in fractionation process‡</w:t>
            </w:r>
            <w:r w:rsidRPr="00391D4F">
              <w:rPr>
                <w:b/>
                <w:color w:val="000000"/>
                <w:sz w:val="20"/>
                <w:szCs w:val="20"/>
              </w:rPr>
              <w:t xml:space="preserve"> </w:t>
            </w:r>
            <w:r w:rsidRPr="00391D4F">
              <w:rPr>
                <w:color w:val="000000"/>
                <w:sz w:val="20"/>
                <w:szCs w:val="20"/>
              </w:rPr>
              <w:t>(2013</w:t>
            </w:r>
            <w:r w:rsidRPr="00391D4F">
              <w:rPr>
                <w:color w:val="000000"/>
                <w:sz w:val="20"/>
                <w:szCs w:val="20"/>
              </w:rPr>
              <w:noBreakHyphen/>
              <w:t>14)</w:t>
            </w:r>
          </w:p>
          <w:p w:rsidR="002E207A" w:rsidRPr="00391D4F" w:rsidRDefault="002E207A" w:rsidP="00391D4F">
            <w:pPr>
              <w:pStyle w:val="ListParagraph"/>
              <w:numPr>
                <w:ilvl w:val="0"/>
                <w:numId w:val="16"/>
              </w:numPr>
              <w:spacing w:after="120"/>
              <w:rPr>
                <w:b/>
                <w:sz w:val="20"/>
                <w:szCs w:val="20"/>
              </w:rPr>
            </w:pPr>
            <w:r w:rsidRPr="00391D4F">
              <w:rPr>
                <w:color w:val="000000"/>
                <w:sz w:val="20"/>
                <w:szCs w:val="20"/>
              </w:rPr>
              <w:t xml:space="preserve">Percentage of </w:t>
            </w:r>
            <w:r w:rsidR="009A67BD">
              <w:rPr>
                <w:color w:val="000000"/>
                <w:sz w:val="20"/>
                <w:szCs w:val="20"/>
              </w:rPr>
              <w:t>health providers</w:t>
            </w:r>
            <w:r w:rsidRPr="00391D4F">
              <w:rPr>
                <w:color w:val="000000"/>
                <w:sz w:val="20"/>
                <w:szCs w:val="20"/>
              </w:rPr>
              <w:t xml:space="preserve"> using BloodNet</w:t>
            </w:r>
            <w:r w:rsidR="009A67BD">
              <w:rPr>
                <w:color w:val="000000"/>
                <w:sz w:val="20"/>
                <w:szCs w:val="20"/>
              </w:rPr>
              <w:t xml:space="preserve"> and BloodNet Fate module</w:t>
            </w:r>
            <w:r w:rsidRPr="00391D4F">
              <w:rPr>
                <w:color w:val="000000"/>
                <w:sz w:val="20"/>
                <w:szCs w:val="20"/>
              </w:rPr>
              <w:t>* (2013</w:t>
            </w:r>
            <w:r w:rsidRPr="00391D4F">
              <w:rPr>
                <w:color w:val="000000"/>
                <w:sz w:val="20"/>
                <w:szCs w:val="20"/>
              </w:rPr>
              <w:noBreakHyphen/>
              <w:t>14)</w:t>
            </w:r>
          </w:p>
          <w:p w:rsidR="003B7753" w:rsidRPr="003B7753" w:rsidRDefault="002E207A" w:rsidP="009A67BD">
            <w:pPr>
              <w:pStyle w:val="ListParagraph"/>
              <w:numPr>
                <w:ilvl w:val="0"/>
                <w:numId w:val="18"/>
              </w:numPr>
              <w:spacing w:after="120"/>
              <w:rPr>
                <w:b/>
                <w:sz w:val="20"/>
                <w:szCs w:val="20"/>
              </w:rPr>
            </w:pPr>
            <w:r w:rsidRPr="009A67BD">
              <w:rPr>
                <w:color w:val="000000"/>
                <w:sz w:val="20"/>
                <w:szCs w:val="20"/>
              </w:rPr>
              <w:t>Percentage of demand for plasma products covered by domestic production‡ (2013</w:t>
            </w:r>
            <w:r w:rsidRPr="009A67BD">
              <w:rPr>
                <w:color w:val="000000"/>
                <w:sz w:val="20"/>
                <w:szCs w:val="20"/>
              </w:rPr>
              <w:noBreakHyphen/>
              <w:t>14)</w:t>
            </w:r>
          </w:p>
          <w:p w:rsidR="002E207A" w:rsidRPr="009A67BD" w:rsidRDefault="002E207A" w:rsidP="009A67BD">
            <w:pPr>
              <w:pStyle w:val="ListParagraph"/>
              <w:numPr>
                <w:ilvl w:val="0"/>
                <w:numId w:val="18"/>
              </w:numPr>
              <w:spacing w:after="120"/>
              <w:rPr>
                <w:b/>
                <w:sz w:val="20"/>
                <w:szCs w:val="20"/>
              </w:rPr>
            </w:pPr>
            <w:r w:rsidRPr="009A67BD">
              <w:rPr>
                <w:color w:val="000000"/>
                <w:sz w:val="20"/>
                <w:szCs w:val="20"/>
              </w:rPr>
              <w:t>Price rises within 1% of CPI and health price index (2013</w:t>
            </w:r>
            <w:r w:rsidRPr="009A67BD">
              <w:rPr>
                <w:color w:val="000000"/>
                <w:sz w:val="20"/>
                <w:szCs w:val="20"/>
              </w:rPr>
              <w:noBreakHyphen/>
              <w:t>14)</w:t>
            </w:r>
          </w:p>
          <w:p w:rsidR="002E207A" w:rsidRPr="00391D4F" w:rsidRDefault="002E207A" w:rsidP="00391D4F">
            <w:pPr>
              <w:pStyle w:val="ListParagraph"/>
              <w:numPr>
                <w:ilvl w:val="0"/>
                <w:numId w:val="16"/>
              </w:numPr>
              <w:spacing w:after="120"/>
              <w:rPr>
                <w:b/>
                <w:sz w:val="20"/>
                <w:szCs w:val="20"/>
              </w:rPr>
            </w:pPr>
            <w:r w:rsidRPr="00391D4F">
              <w:rPr>
                <w:sz w:val="20"/>
                <w:szCs w:val="20"/>
              </w:rPr>
              <w:t>Percentage of facilities meeting National Wastage Reduction Strategy targets* (2014</w:t>
            </w:r>
            <w:r w:rsidRPr="00391D4F">
              <w:rPr>
                <w:sz w:val="20"/>
                <w:szCs w:val="20"/>
              </w:rPr>
              <w:noBreakHyphen/>
              <w:t>15)</w:t>
            </w:r>
          </w:p>
        </w:tc>
      </w:tr>
    </w:tbl>
    <w:p w:rsidR="002E207A" w:rsidRPr="00AE0E24" w:rsidRDefault="002E207A" w:rsidP="00AE0E24">
      <w:pPr>
        <w:rPr>
          <w:sz w:val="20"/>
          <w:szCs w:val="20"/>
        </w:rPr>
      </w:pPr>
      <w:r w:rsidRPr="00AE0E24">
        <w:rPr>
          <w:sz w:val="20"/>
          <w:szCs w:val="20"/>
        </w:rPr>
        <w:t xml:space="preserve">Data sources: *NBA, †Australian Red Cross Blood Service, ‡CSL, ‽Blood Product Suppliers, ⁞Health Providers </w:t>
      </w:r>
    </w:p>
    <w:p w:rsidR="002E207A" w:rsidRDefault="002E207A">
      <w:pPr>
        <w:spacing w:after="0"/>
        <w:rPr>
          <w:rFonts w:eastAsia="HYGothic-Extra"/>
          <w:bCs/>
          <w:color w:val="FFFFFF"/>
          <w:spacing w:val="-20"/>
          <w:sz w:val="60"/>
          <w:szCs w:val="60"/>
        </w:rPr>
      </w:pPr>
    </w:p>
    <w:p w:rsidR="002E207A" w:rsidRDefault="002E207A">
      <w:pPr>
        <w:spacing w:after="0"/>
        <w:rPr>
          <w:rFonts w:eastAsia="HYGothic-Extra"/>
          <w:bCs/>
          <w:color w:val="FFFFFF"/>
          <w:spacing w:val="-20"/>
          <w:sz w:val="60"/>
          <w:szCs w:val="60"/>
        </w:rPr>
      </w:pPr>
      <w:r>
        <w:br w:type="page"/>
      </w:r>
    </w:p>
    <w:p w:rsidR="002E207A" w:rsidRDefault="002E207A" w:rsidP="00B402BF">
      <w:pPr>
        <w:pStyle w:val="Heading3"/>
      </w:pPr>
      <w:bookmarkStart w:id="20" w:name="_Toc343432040"/>
      <w:r>
        <w:lastRenderedPageBreak/>
        <w:t xml:space="preserve">Table </w:t>
      </w:r>
      <w:r w:rsidR="00A74103">
        <w:fldChar w:fldCharType="begin"/>
      </w:r>
      <w:r w:rsidR="00A74103">
        <w:instrText xml:space="preserve"> SEQ Table \* ARABIC </w:instrText>
      </w:r>
      <w:r w:rsidR="00A74103">
        <w:fldChar w:fldCharType="separate"/>
      </w:r>
      <w:r w:rsidR="00C82CE1">
        <w:rPr>
          <w:noProof/>
        </w:rPr>
        <w:t>4</w:t>
      </w:r>
      <w:r w:rsidR="00A74103">
        <w:rPr>
          <w:noProof/>
        </w:rPr>
        <w:fldChar w:fldCharType="end"/>
      </w:r>
      <w:r>
        <w:t>. Blood Sector Performance Scorecard – Clinical SAFETY AND QUALITY Data</w:t>
      </w:r>
      <w:bookmarkEnd w:id="20"/>
    </w:p>
    <w:p w:rsidR="002E207A" w:rsidRPr="00B402BF" w:rsidRDefault="002E207A" w:rsidP="00B402BF">
      <w:pPr>
        <w:pStyle w:val="NoSpacing"/>
      </w:pPr>
    </w:p>
    <w:tbl>
      <w:tblPr>
        <w:tblW w:w="932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57" w:type="dxa"/>
          <w:bottom w:w="57" w:type="dxa"/>
        </w:tblCellMar>
        <w:tblLook w:val="00A0" w:firstRow="1" w:lastRow="0" w:firstColumn="1" w:lastColumn="0" w:noHBand="0" w:noVBand="0"/>
      </w:tblPr>
      <w:tblGrid>
        <w:gridCol w:w="1239"/>
        <w:gridCol w:w="8083"/>
      </w:tblGrid>
      <w:tr w:rsidR="002E207A" w:rsidRPr="00A93BAA" w:rsidTr="007649D7">
        <w:trPr>
          <w:tblHeader/>
        </w:trPr>
        <w:tc>
          <w:tcPr>
            <w:tcW w:w="1134" w:type="dxa"/>
            <w:shd w:val="clear" w:color="auto" w:fill="C00000"/>
            <w:vAlign w:val="center"/>
          </w:tcPr>
          <w:p w:rsidR="002E207A" w:rsidRPr="00391D4F" w:rsidRDefault="002E207A" w:rsidP="00391D4F">
            <w:pPr>
              <w:contextualSpacing/>
              <w:jc w:val="center"/>
              <w:rPr>
                <w:b/>
                <w:color w:val="FFFFFF"/>
                <w:sz w:val="20"/>
                <w:szCs w:val="20"/>
              </w:rPr>
            </w:pPr>
            <w:r w:rsidRPr="00391D4F">
              <w:rPr>
                <w:b/>
                <w:color w:val="FFFFFF"/>
                <w:sz w:val="20"/>
                <w:szCs w:val="20"/>
              </w:rPr>
              <w:t>Criteria</w:t>
            </w:r>
          </w:p>
        </w:tc>
        <w:tc>
          <w:tcPr>
            <w:tcW w:w="7689" w:type="dxa"/>
            <w:shd w:val="clear" w:color="auto" w:fill="C00000"/>
            <w:vAlign w:val="center"/>
          </w:tcPr>
          <w:p w:rsidR="002E207A" w:rsidRPr="00391D4F" w:rsidRDefault="002E207A" w:rsidP="00391D4F">
            <w:pPr>
              <w:contextualSpacing/>
              <w:jc w:val="center"/>
              <w:rPr>
                <w:b/>
                <w:color w:val="FFFFFF"/>
                <w:sz w:val="20"/>
                <w:szCs w:val="20"/>
              </w:rPr>
            </w:pPr>
            <w:r w:rsidRPr="00391D4F">
              <w:rPr>
                <w:b/>
                <w:color w:val="FFFFFF"/>
                <w:sz w:val="20"/>
                <w:szCs w:val="20"/>
              </w:rPr>
              <w:t>Measures</w:t>
            </w:r>
          </w:p>
        </w:tc>
      </w:tr>
      <w:tr w:rsidR="002E207A" w:rsidRPr="00A93BAA" w:rsidTr="00391D4F">
        <w:tc>
          <w:tcPr>
            <w:tcW w:w="1134" w:type="dxa"/>
            <w:shd w:val="clear" w:color="auto" w:fill="FFD5D5"/>
            <w:vAlign w:val="center"/>
          </w:tcPr>
          <w:p w:rsidR="002E207A" w:rsidRPr="00391D4F" w:rsidRDefault="002E207A" w:rsidP="00A93BAA">
            <w:pPr>
              <w:contextualSpacing/>
              <w:rPr>
                <w:b/>
                <w:color w:val="000000"/>
                <w:sz w:val="20"/>
                <w:szCs w:val="20"/>
              </w:rPr>
            </w:pPr>
            <w:r w:rsidRPr="00391D4F">
              <w:rPr>
                <w:b/>
                <w:color w:val="000000"/>
                <w:sz w:val="20"/>
                <w:szCs w:val="20"/>
              </w:rPr>
              <w:t>Effective</w:t>
            </w:r>
          </w:p>
        </w:tc>
        <w:tc>
          <w:tcPr>
            <w:tcW w:w="7689" w:type="dxa"/>
            <w:shd w:val="clear" w:color="auto" w:fill="F2F2F2"/>
          </w:tcPr>
          <w:p w:rsidR="002E207A" w:rsidRPr="00391D4F" w:rsidRDefault="002E207A" w:rsidP="00391D4F">
            <w:pPr>
              <w:pStyle w:val="ListParagraph"/>
              <w:numPr>
                <w:ilvl w:val="0"/>
                <w:numId w:val="20"/>
              </w:numPr>
              <w:spacing w:after="120"/>
              <w:rPr>
                <w:sz w:val="20"/>
                <w:szCs w:val="20"/>
              </w:rPr>
            </w:pPr>
            <w:r w:rsidRPr="00391D4F">
              <w:rPr>
                <w:color w:val="000000"/>
                <w:sz w:val="20"/>
                <w:szCs w:val="20"/>
              </w:rPr>
              <w:t>National clinical and product guidelines and IVIg criteria for use produced as directed by jurisdictions*(2013</w:t>
            </w:r>
            <w:r w:rsidRPr="00391D4F">
              <w:rPr>
                <w:color w:val="000000"/>
                <w:sz w:val="20"/>
                <w:szCs w:val="20"/>
              </w:rPr>
              <w:noBreakHyphen/>
              <w:t>14)</w:t>
            </w:r>
            <w:r>
              <w:rPr>
                <w:color w:val="000000"/>
                <w:sz w:val="20"/>
                <w:szCs w:val="20"/>
              </w:rPr>
              <w:t xml:space="preserve"> </w:t>
            </w:r>
          </w:p>
          <w:p w:rsidR="002E207A" w:rsidRPr="00A92707" w:rsidRDefault="004D0DFD" w:rsidP="00A92707">
            <w:pPr>
              <w:pStyle w:val="ListParagraph"/>
              <w:numPr>
                <w:ilvl w:val="0"/>
                <w:numId w:val="21"/>
              </w:numPr>
              <w:spacing w:after="120"/>
              <w:rPr>
                <w:sz w:val="20"/>
                <w:szCs w:val="20"/>
              </w:rPr>
            </w:pPr>
            <w:r>
              <w:rPr>
                <w:color w:val="000000"/>
                <w:sz w:val="20"/>
                <w:szCs w:val="20"/>
              </w:rPr>
              <w:t>J</w:t>
            </w:r>
            <w:r w:rsidR="002E207A" w:rsidRPr="00391D4F">
              <w:rPr>
                <w:color w:val="000000"/>
                <w:sz w:val="20"/>
                <w:szCs w:val="20"/>
              </w:rPr>
              <w:t>urisdictions satisfied with National PBM activities</w:t>
            </w:r>
            <w:r>
              <w:rPr>
                <w:color w:val="000000"/>
                <w:sz w:val="20"/>
                <w:szCs w:val="20"/>
              </w:rPr>
              <w:t xml:space="preserve"> &gt; 75%</w:t>
            </w:r>
            <w:r w:rsidR="002E207A" w:rsidRPr="00391D4F">
              <w:rPr>
                <w:color w:val="000000"/>
                <w:sz w:val="20"/>
                <w:szCs w:val="20"/>
              </w:rPr>
              <w:t>* (2013</w:t>
            </w:r>
            <w:r w:rsidR="002E207A" w:rsidRPr="00391D4F">
              <w:rPr>
                <w:color w:val="000000"/>
                <w:sz w:val="20"/>
                <w:szCs w:val="20"/>
              </w:rPr>
              <w:noBreakHyphen/>
              <w:t>14)</w:t>
            </w:r>
          </w:p>
        </w:tc>
      </w:tr>
      <w:tr w:rsidR="002E207A" w:rsidRPr="00A93BAA" w:rsidTr="00391D4F">
        <w:tc>
          <w:tcPr>
            <w:tcW w:w="1134" w:type="dxa"/>
            <w:shd w:val="clear" w:color="auto" w:fill="FFD5D5"/>
            <w:vAlign w:val="center"/>
          </w:tcPr>
          <w:p w:rsidR="002E207A" w:rsidRPr="00391D4F" w:rsidRDefault="002E207A" w:rsidP="00A93BAA">
            <w:pPr>
              <w:contextualSpacing/>
              <w:rPr>
                <w:b/>
                <w:color w:val="000000"/>
                <w:sz w:val="20"/>
                <w:szCs w:val="20"/>
              </w:rPr>
            </w:pPr>
            <w:r w:rsidRPr="00391D4F">
              <w:rPr>
                <w:b/>
                <w:color w:val="000000"/>
                <w:sz w:val="20"/>
                <w:szCs w:val="20"/>
              </w:rPr>
              <w:t>Safe</w:t>
            </w:r>
          </w:p>
        </w:tc>
        <w:tc>
          <w:tcPr>
            <w:tcW w:w="7689" w:type="dxa"/>
            <w:shd w:val="clear" w:color="auto" w:fill="F2F2F2"/>
          </w:tcPr>
          <w:p w:rsidR="002E207A" w:rsidRPr="00A92707" w:rsidRDefault="002E207A" w:rsidP="00A92707">
            <w:pPr>
              <w:pStyle w:val="ListParagraph"/>
              <w:numPr>
                <w:ilvl w:val="0"/>
                <w:numId w:val="20"/>
              </w:numPr>
              <w:spacing w:after="120"/>
              <w:rPr>
                <w:sz w:val="20"/>
                <w:szCs w:val="20"/>
              </w:rPr>
            </w:pPr>
            <w:r w:rsidRPr="00391D4F">
              <w:rPr>
                <w:color w:val="000000"/>
                <w:sz w:val="20"/>
                <w:szCs w:val="20"/>
              </w:rPr>
              <w:t xml:space="preserve">Percentage of </w:t>
            </w:r>
            <w:r w:rsidR="004D0DFD">
              <w:rPr>
                <w:color w:val="000000"/>
                <w:sz w:val="20"/>
                <w:szCs w:val="20"/>
              </w:rPr>
              <w:t>health providers</w:t>
            </w:r>
            <w:r w:rsidRPr="00391D4F">
              <w:rPr>
                <w:color w:val="000000"/>
                <w:sz w:val="20"/>
                <w:szCs w:val="20"/>
              </w:rPr>
              <w:t xml:space="preserve"> accredited against ACHS Equip Standards,</w:t>
            </w:r>
            <w:r w:rsidR="009D71F0">
              <w:rPr>
                <w:color w:val="000000"/>
                <w:sz w:val="20"/>
                <w:szCs w:val="20"/>
              </w:rPr>
              <w:t xml:space="preserve"> or</w:t>
            </w:r>
            <w:r w:rsidRPr="00391D4F">
              <w:rPr>
                <w:color w:val="000000"/>
                <w:sz w:val="20"/>
                <w:szCs w:val="20"/>
              </w:rPr>
              <w:t xml:space="preserve"> NSQHS Standard 7 </w:t>
            </w:r>
            <w:r w:rsidR="009D71F0">
              <w:rPr>
                <w:color w:val="000000"/>
                <w:sz w:val="20"/>
                <w:szCs w:val="20"/>
              </w:rPr>
              <w:t>or</w:t>
            </w:r>
            <w:r w:rsidR="00A92707">
              <w:rPr>
                <w:color w:val="000000"/>
                <w:sz w:val="20"/>
                <w:szCs w:val="20"/>
              </w:rPr>
              <w:t xml:space="preserve"> NPAAC Standards⁞  (2013</w:t>
            </w:r>
            <w:r w:rsidR="00A92707">
              <w:rPr>
                <w:color w:val="000000"/>
                <w:sz w:val="20"/>
                <w:szCs w:val="20"/>
              </w:rPr>
              <w:noBreakHyphen/>
              <w:t>14</w:t>
            </w:r>
          </w:p>
        </w:tc>
      </w:tr>
      <w:tr w:rsidR="002E207A" w:rsidRPr="00A93BAA" w:rsidTr="00391D4F">
        <w:tc>
          <w:tcPr>
            <w:tcW w:w="1134" w:type="dxa"/>
            <w:shd w:val="clear" w:color="auto" w:fill="FFD5D5"/>
            <w:vAlign w:val="center"/>
          </w:tcPr>
          <w:p w:rsidR="002E207A" w:rsidRPr="00391D4F" w:rsidRDefault="002E207A" w:rsidP="00A93BAA">
            <w:pPr>
              <w:contextualSpacing/>
              <w:rPr>
                <w:b/>
                <w:color w:val="000000"/>
                <w:sz w:val="20"/>
                <w:szCs w:val="20"/>
              </w:rPr>
            </w:pPr>
            <w:r w:rsidRPr="00391D4F">
              <w:rPr>
                <w:b/>
                <w:color w:val="000000"/>
                <w:sz w:val="20"/>
                <w:szCs w:val="20"/>
              </w:rPr>
              <w:t>Responsive</w:t>
            </w:r>
          </w:p>
        </w:tc>
        <w:tc>
          <w:tcPr>
            <w:tcW w:w="7689" w:type="dxa"/>
            <w:shd w:val="clear" w:color="auto" w:fill="F2F2F2"/>
          </w:tcPr>
          <w:p w:rsidR="002E207A" w:rsidRPr="00391D4F" w:rsidRDefault="002E207A" w:rsidP="00391D4F">
            <w:pPr>
              <w:pStyle w:val="ListParagraph"/>
              <w:numPr>
                <w:ilvl w:val="0"/>
                <w:numId w:val="31"/>
              </w:numPr>
              <w:spacing w:after="120"/>
              <w:rPr>
                <w:sz w:val="20"/>
                <w:szCs w:val="20"/>
              </w:rPr>
            </w:pPr>
            <w:r w:rsidRPr="00391D4F">
              <w:rPr>
                <w:color w:val="000000"/>
                <w:sz w:val="20"/>
                <w:szCs w:val="20"/>
              </w:rPr>
              <w:t>Number of new BloodNet reports developed in response to user demand* (2013</w:t>
            </w:r>
            <w:r w:rsidRPr="00391D4F">
              <w:rPr>
                <w:color w:val="000000"/>
                <w:sz w:val="20"/>
                <w:szCs w:val="20"/>
              </w:rPr>
              <w:noBreakHyphen/>
              <w:t>14)</w:t>
            </w:r>
          </w:p>
          <w:p w:rsidR="002E207A" w:rsidRPr="00391D4F" w:rsidRDefault="002E207A" w:rsidP="00391D4F">
            <w:pPr>
              <w:pStyle w:val="ListParagraph"/>
              <w:numPr>
                <w:ilvl w:val="0"/>
                <w:numId w:val="31"/>
              </w:numPr>
              <w:spacing w:after="120"/>
              <w:rPr>
                <w:sz w:val="20"/>
                <w:szCs w:val="20"/>
              </w:rPr>
            </w:pPr>
            <w:r w:rsidRPr="00391D4F">
              <w:rPr>
                <w:color w:val="000000"/>
                <w:sz w:val="20"/>
                <w:szCs w:val="20"/>
              </w:rPr>
              <w:t xml:space="preserve">Number of </w:t>
            </w:r>
            <w:r w:rsidR="009A67BD">
              <w:rPr>
                <w:color w:val="000000"/>
                <w:sz w:val="20"/>
                <w:szCs w:val="20"/>
              </w:rPr>
              <w:t>new initiatives resulting from</w:t>
            </w:r>
            <w:r w:rsidRPr="00391D4F">
              <w:rPr>
                <w:color w:val="000000"/>
                <w:sz w:val="20"/>
                <w:szCs w:val="20"/>
              </w:rPr>
              <w:t xml:space="preserve"> BloodChat forums* (2013</w:t>
            </w:r>
            <w:r w:rsidRPr="00391D4F">
              <w:rPr>
                <w:color w:val="000000"/>
                <w:sz w:val="20"/>
                <w:szCs w:val="20"/>
              </w:rPr>
              <w:noBreakHyphen/>
              <w:t>14)</w:t>
            </w:r>
          </w:p>
          <w:p w:rsidR="002E207A" w:rsidRPr="00391D4F" w:rsidRDefault="002E207A" w:rsidP="00391D4F">
            <w:pPr>
              <w:pStyle w:val="ListParagraph"/>
              <w:numPr>
                <w:ilvl w:val="0"/>
                <w:numId w:val="31"/>
              </w:numPr>
              <w:spacing w:after="120"/>
              <w:rPr>
                <w:sz w:val="20"/>
                <w:szCs w:val="20"/>
              </w:rPr>
            </w:pPr>
            <w:r w:rsidRPr="00391D4F">
              <w:rPr>
                <w:color w:val="000000"/>
                <w:sz w:val="20"/>
                <w:szCs w:val="20"/>
              </w:rPr>
              <w:t>Number of users registered with BloodPortal* (2013</w:t>
            </w:r>
            <w:r w:rsidRPr="00391D4F">
              <w:rPr>
                <w:color w:val="000000"/>
                <w:sz w:val="20"/>
                <w:szCs w:val="20"/>
              </w:rPr>
              <w:noBreakHyphen/>
              <w:t>14)</w:t>
            </w:r>
          </w:p>
          <w:p w:rsidR="002E207A" w:rsidRPr="00391D4F" w:rsidRDefault="002E207A" w:rsidP="00391D4F">
            <w:pPr>
              <w:pStyle w:val="ListParagraph"/>
              <w:numPr>
                <w:ilvl w:val="0"/>
                <w:numId w:val="31"/>
              </w:numPr>
              <w:spacing w:after="120"/>
              <w:rPr>
                <w:color w:val="000000"/>
                <w:sz w:val="20"/>
                <w:szCs w:val="20"/>
              </w:rPr>
            </w:pPr>
            <w:r w:rsidRPr="00391D4F">
              <w:rPr>
                <w:color w:val="000000"/>
                <w:sz w:val="20"/>
                <w:szCs w:val="20"/>
              </w:rPr>
              <w:t>Number of requests for data from NBA managed systems* (2013</w:t>
            </w:r>
            <w:r w:rsidRPr="00391D4F">
              <w:rPr>
                <w:color w:val="000000"/>
                <w:sz w:val="20"/>
                <w:szCs w:val="20"/>
              </w:rPr>
              <w:noBreakHyphen/>
              <w:t>14)</w:t>
            </w:r>
          </w:p>
        </w:tc>
      </w:tr>
      <w:tr w:rsidR="002E207A" w:rsidRPr="00A93BAA" w:rsidTr="00391D4F">
        <w:tc>
          <w:tcPr>
            <w:tcW w:w="1134" w:type="dxa"/>
            <w:shd w:val="clear" w:color="auto" w:fill="FFD5D5"/>
            <w:vAlign w:val="center"/>
          </w:tcPr>
          <w:p w:rsidR="002E207A" w:rsidRPr="00391D4F" w:rsidRDefault="002E207A" w:rsidP="00A93BAA">
            <w:pPr>
              <w:contextualSpacing/>
              <w:rPr>
                <w:b/>
                <w:color w:val="000000"/>
                <w:sz w:val="20"/>
                <w:szCs w:val="20"/>
              </w:rPr>
            </w:pPr>
            <w:r w:rsidRPr="00391D4F">
              <w:rPr>
                <w:b/>
                <w:color w:val="000000"/>
                <w:sz w:val="20"/>
                <w:szCs w:val="20"/>
              </w:rPr>
              <w:t>Continuous</w:t>
            </w:r>
          </w:p>
        </w:tc>
        <w:tc>
          <w:tcPr>
            <w:tcW w:w="7689" w:type="dxa"/>
            <w:shd w:val="clear" w:color="auto" w:fill="F2F2F2"/>
          </w:tcPr>
          <w:p w:rsidR="002E207A" w:rsidRPr="00391D4F" w:rsidRDefault="002E207A" w:rsidP="00391D4F">
            <w:pPr>
              <w:pStyle w:val="ListParagraph"/>
              <w:numPr>
                <w:ilvl w:val="0"/>
                <w:numId w:val="20"/>
              </w:numPr>
              <w:spacing w:after="120"/>
              <w:rPr>
                <w:sz w:val="20"/>
                <w:szCs w:val="20"/>
              </w:rPr>
            </w:pPr>
            <w:r w:rsidRPr="00391D4F">
              <w:rPr>
                <w:color w:val="000000"/>
                <w:sz w:val="20"/>
                <w:szCs w:val="20"/>
              </w:rPr>
              <w:t>Number of jurisdictions contributing haemovigilance data for national reporting* (2013</w:t>
            </w:r>
            <w:r w:rsidRPr="00391D4F">
              <w:rPr>
                <w:color w:val="000000"/>
                <w:sz w:val="20"/>
                <w:szCs w:val="20"/>
              </w:rPr>
              <w:noBreakHyphen/>
              <w:t>14)</w:t>
            </w:r>
          </w:p>
          <w:p w:rsidR="002E207A" w:rsidRPr="00391D4F" w:rsidRDefault="002E207A" w:rsidP="00391D4F">
            <w:pPr>
              <w:pStyle w:val="ListParagraph"/>
              <w:numPr>
                <w:ilvl w:val="0"/>
                <w:numId w:val="20"/>
              </w:numPr>
              <w:spacing w:after="120"/>
              <w:rPr>
                <w:sz w:val="20"/>
                <w:szCs w:val="20"/>
              </w:rPr>
            </w:pPr>
            <w:r w:rsidRPr="00391D4F">
              <w:rPr>
                <w:sz w:val="20"/>
                <w:szCs w:val="20"/>
              </w:rPr>
              <w:t>Number of jurisdictions reporting consistently with the National Haemovigilance Data Dictionary* (201</w:t>
            </w:r>
            <w:r w:rsidR="00A92707">
              <w:rPr>
                <w:sz w:val="20"/>
                <w:szCs w:val="20"/>
              </w:rPr>
              <w:t>5</w:t>
            </w:r>
            <w:r w:rsidRPr="00391D4F">
              <w:rPr>
                <w:sz w:val="20"/>
                <w:szCs w:val="20"/>
              </w:rPr>
              <w:noBreakHyphen/>
              <w:t>1</w:t>
            </w:r>
            <w:r w:rsidR="00A92707">
              <w:rPr>
                <w:sz w:val="20"/>
                <w:szCs w:val="20"/>
              </w:rPr>
              <w:t>6</w:t>
            </w:r>
            <w:r w:rsidRPr="00391D4F">
              <w:rPr>
                <w:sz w:val="20"/>
                <w:szCs w:val="20"/>
              </w:rPr>
              <w:t>)</w:t>
            </w:r>
            <w:r>
              <w:rPr>
                <w:sz w:val="20"/>
                <w:szCs w:val="20"/>
              </w:rPr>
              <w:t xml:space="preserve"> </w:t>
            </w:r>
          </w:p>
          <w:p w:rsidR="002E207A" w:rsidRPr="00391D4F" w:rsidRDefault="002E207A" w:rsidP="009A67BD">
            <w:pPr>
              <w:pStyle w:val="ListParagraph"/>
              <w:numPr>
                <w:ilvl w:val="0"/>
                <w:numId w:val="20"/>
              </w:numPr>
              <w:spacing w:after="120"/>
              <w:rPr>
                <w:sz w:val="20"/>
                <w:szCs w:val="20"/>
              </w:rPr>
            </w:pPr>
            <w:r w:rsidRPr="00391D4F">
              <w:rPr>
                <w:sz w:val="20"/>
                <w:szCs w:val="20"/>
              </w:rPr>
              <w:t xml:space="preserve">Percentage of </w:t>
            </w:r>
            <w:r w:rsidR="009A67BD">
              <w:rPr>
                <w:sz w:val="20"/>
                <w:szCs w:val="20"/>
              </w:rPr>
              <w:t>health providers</w:t>
            </w:r>
            <w:r w:rsidRPr="00391D4F">
              <w:rPr>
                <w:sz w:val="20"/>
                <w:szCs w:val="20"/>
              </w:rPr>
              <w:t xml:space="preserve"> with </w:t>
            </w:r>
            <w:r w:rsidR="00071BB8">
              <w:rPr>
                <w:sz w:val="20"/>
                <w:szCs w:val="20"/>
              </w:rPr>
              <w:t xml:space="preserve">a policy for a </w:t>
            </w:r>
            <w:r w:rsidRPr="00391D4F">
              <w:rPr>
                <w:sz w:val="20"/>
                <w:szCs w:val="20"/>
              </w:rPr>
              <w:t>PBM program⁞ (2015</w:t>
            </w:r>
            <w:r w:rsidRPr="00391D4F">
              <w:rPr>
                <w:sz w:val="20"/>
                <w:szCs w:val="20"/>
              </w:rPr>
              <w:noBreakHyphen/>
              <w:t>16)</w:t>
            </w:r>
          </w:p>
        </w:tc>
      </w:tr>
      <w:tr w:rsidR="002E207A" w:rsidRPr="00A93BAA" w:rsidTr="00391D4F">
        <w:tc>
          <w:tcPr>
            <w:tcW w:w="1134" w:type="dxa"/>
            <w:shd w:val="clear" w:color="auto" w:fill="FFD5D5"/>
            <w:vAlign w:val="center"/>
          </w:tcPr>
          <w:p w:rsidR="002E207A" w:rsidRPr="00391D4F" w:rsidRDefault="002E207A" w:rsidP="00A93BAA">
            <w:pPr>
              <w:contextualSpacing/>
              <w:rPr>
                <w:b/>
                <w:color w:val="000000"/>
                <w:sz w:val="20"/>
                <w:szCs w:val="20"/>
              </w:rPr>
            </w:pPr>
            <w:r w:rsidRPr="00391D4F">
              <w:rPr>
                <w:b/>
                <w:color w:val="000000"/>
                <w:sz w:val="20"/>
                <w:szCs w:val="20"/>
              </w:rPr>
              <w:t>Accessible</w:t>
            </w:r>
          </w:p>
        </w:tc>
        <w:tc>
          <w:tcPr>
            <w:tcW w:w="7689" w:type="dxa"/>
            <w:shd w:val="clear" w:color="auto" w:fill="F2F2F2"/>
          </w:tcPr>
          <w:p w:rsidR="002E207A" w:rsidRPr="00391D4F" w:rsidRDefault="002E207A" w:rsidP="00391D4F">
            <w:pPr>
              <w:pStyle w:val="ListParagraph"/>
              <w:numPr>
                <w:ilvl w:val="0"/>
                <w:numId w:val="20"/>
              </w:numPr>
              <w:spacing w:after="120"/>
              <w:rPr>
                <w:sz w:val="20"/>
                <w:szCs w:val="20"/>
              </w:rPr>
            </w:pPr>
            <w:r w:rsidRPr="00391D4F">
              <w:rPr>
                <w:color w:val="000000"/>
                <w:sz w:val="20"/>
                <w:szCs w:val="20"/>
              </w:rPr>
              <w:t xml:space="preserve">Number of downloads from NBA </w:t>
            </w:r>
            <w:r w:rsidR="009A67BD">
              <w:rPr>
                <w:color w:val="000000"/>
                <w:sz w:val="20"/>
                <w:szCs w:val="20"/>
              </w:rPr>
              <w:t>website</w:t>
            </w:r>
            <w:r w:rsidR="00071BB8">
              <w:rPr>
                <w:color w:val="000000"/>
                <w:sz w:val="20"/>
                <w:szCs w:val="20"/>
              </w:rPr>
              <w:t xml:space="preserve"> for National Reference Sets</w:t>
            </w:r>
            <w:r w:rsidRPr="00391D4F">
              <w:rPr>
                <w:color w:val="000000"/>
                <w:sz w:val="20"/>
                <w:szCs w:val="20"/>
              </w:rPr>
              <w:t>* (2014</w:t>
            </w:r>
            <w:r w:rsidRPr="00391D4F">
              <w:rPr>
                <w:color w:val="000000"/>
                <w:sz w:val="20"/>
                <w:szCs w:val="20"/>
              </w:rPr>
              <w:noBreakHyphen/>
              <w:t>15)</w:t>
            </w:r>
            <w:r>
              <w:rPr>
                <w:color w:val="000000"/>
                <w:sz w:val="20"/>
                <w:szCs w:val="20"/>
              </w:rPr>
              <w:t xml:space="preserve"> </w:t>
            </w:r>
          </w:p>
          <w:p w:rsidR="002E207A" w:rsidRPr="00391D4F" w:rsidRDefault="002E207A" w:rsidP="00391D4F">
            <w:pPr>
              <w:pStyle w:val="ListParagraph"/>
              <w:numPr>
                <w:ilvl w:val="0"/>
                <w:numId w:val="20"/>
              </w:numPr>
              <w:spacing w:after="120"/>
              <w:rPr>
                <w:sz w:val="20"/>
                <w:szCs w:val="20"/>
              </w:rPr>
            </w:pPr>
            <w:r w:rsidRPr="00391D4F">
              <w:rPr>
                <w:color w:val="000000"/>
                <w:sz w:val="20"/>
                <w:szCs w:val="20"/>
              </w:rPr>
              <w:t>Data available on national blood component and blood product issue costs, volumes, and discard rates* (2013</w:t>
            </w:r>
            <w:r w:rsidRPr="00391D4F">
              <w:rPr>
                <w:color w:val="000000"/>
                <w:sz w:val="20"/>
                <w:szCs w:val="20"/>
              </w:rPr>
              <w:noBreakHyphen/>
              <w:t xml:space="preserve">14) </w:t>
            </w:r>
          </w:p>
          <w:p w:rsidR="002E207A" w:rsidRPr="00391D4F" w:rsidRDefault="002E207A" w:rsidP="00391D4F">
            <w:pPr>
              <w:pStyle w:val="ListParagraph"/>
              <w:numPr>
                <w:ilvl w:val="0"/>
                <w:numId w:val="20"/>
              </w:numPr>
              <w:spacing w:after="120"/>
              <w:rPr>
                <w:sz w:val="20"/>
                <w:szCs w:val="20"/>
              </w:rPr>
            </w:pPr>
            <w:r w:rsidRPr="00391D4F">
              <w:rPr>
                <w:color w:val="000000"/>
                <w:sz w:val="20"/>
                <w:szCs w:val="20"/>
              </w:rPr>
              <w:t>Percentage of enrolling students completing BloodSafe eLearning* (2013</w:t>
            </w:r>
            <w:r w:rsidRPr="00391D4F">
              <w:rPr>
                <w:color w:val="000000"/>
                <w:sz w:val="20"/>
                <w:szCs w:val="20"/>
              </w:rPr>
              <w:noBreakHyphen/>
              <w:t>14)</w:t>
            </w:r>
          </w:p>
        </w:tc>
      </w:tr>
      <w:tr w:rsidR="002E207A" w:rsidRPr="00A93BAA" w:rsidTr="00391D4F">
        <w:tc>
          <w:tcPr>
            <w:tcW w:w="1134" w:type="dxa"/>
            <w:shd w:val="clear" w:color="auto" w:fill="FFD5D5"/>
            <w:vAlign w:val="center"/>
          </w:tcPr>
          <w:p w:rsidR="002E207A" w:rsidRPr="00391D4F" w:rsidRDefault="002E207A" w:rsidP="00A93BAA">
            <w:pPr>
              <w:contextualSpacing/>
              <w:rPr>
                <w:b/>
                <w:color w:val="000000"/>
                <w:sz w:val="20"/>
                <w:szCs w:val="20"/>
              </w:rPr>
            </w:pPr>
            <w:r w:rsidRPr="00391D4F">
              <w:rPr>
                <w:b/>
                <w:color w:val="000000"/>
                <w:sz w:val="20"/>
                <w:szCs w:val="20"/>
              </w:rPr>
              <w:t>Efficient and Sustainable</w:t>
            </w:r>
          </w:p>
        </w:tc>
        <w:tc>
          <w:tcPr>
            <w:tcW w:w="7689" w:type="dxa"/>
            <w:shd w:val="clear" w:color="auto" w:fill="F2F2F2"/>
          </w:tcPr>
          <w:p w:rsidR="002E207A" w:rsidRPr="00071BB8" w:rsidRDefault="007C225B" w:rsidP="00071BB8">
            <w:pPr>
              <w:pStyle w:val="ListParagraph"/>
              <w:numPr>
                <w:ilvl w:val="0"/>
                <w:numId w:val="20"/>
              </w:numPr>
              <w:spacing w:after="120"/>
              <w:rPr>
                <w:sz w:val="20"/>
                <w:szCs w:val="20"/>
              </w:rPr>
            </w:pPr>
            <w:r w:rsidRPr="00071BB8">
              <w:rPr>
                <w:sz w:val="20"/>
                <w:szCs w:val="20"/>
              </w:rPr>
              <w:t xml:space="preserve">Number of health providers with a policy of </w:t>
            </w:r>
            <w:r w:rsidR="002E207A" w:rsidRPr="00071BB8">
              <w:rPr>
                <w:sz w:val="20"/>
                <w:szCs w:val="20"/>
              </w:rPr>
              <w:t>administer</w:t>
            </w:r>
            <w:r w:rsidRPr="00071BB8">
              <w:rPr>
                <w:sz w:val="20"/>
                <w:szCs w:val="20"/>
              </w:rPr>
              <w:t>ing blood components</w:t>
            </w:r>
            <w:r w:rsidR="002E207A" w:rsidRPr="00071BB8">
              <w:rPr>
                <w:sz w:val="20"/>
                <w:szCs w:val="20"/>
              </w:rPr>
              <w:t xml:space="preserve">  in accordance with clinical guidelines* (201</w:t>
            </w:r>
            <w:r w:rsidR="009A67BD" w:rsidRPr="00071BB8">
              <w:rPr>
                <w:sz w:val="20"/>
                <w:szCs w:val="20"/>
              </w:rPr>
              <w:t>4</w:t>
            </w:r>
            <w:r w:rsidR="002E207A" w:rsidRPr="00071BB8">
              <w:rPr>
                <w:sz w:val="20"/>
                <w:szCs w:val="20"/>
              </w:rPr>
              <w:noBreakHyphen/>
              <w:t>1</w:t>
            </w:r>
            <w:r w:rsidR="009A67BD" w:rsidRPr="00071BB8">
              <w:rPr>
                <w:sz w:val="20"/>
                <w:szCs w:val="20"/>
              </w:rPr>
              <w:t>6</w:t>
            </w:r>
            <w:r w:rsidR="002E207A" w:rsidRPr="00071BB8">
              <w:rPr>
                <w:sz w:val="20"/>
                <w:szCs w:val="20"/>
              </w:rPr>
              <w:t>)</w:t>
            </w:r>
          </w:p>
          <w:p w:rsidR="002E207A" w:rsidRPr="00391D4F" w:rsidRDefault="002E207A" w:rsidP="00391D4F">
            <w:pPr>
              <w:pStyle w:val="ListParagraph"/>
              <w:numPr>
                <w:ilvl w:val="0"/>
                <w:numId w:val="20"/>
              </w:numPr>
              <w:spacing w:after="120"/>
              <w:rPr>
                <w:sz w:val="20"/>
                <w:szCs w:val="20"/>
              </w:rPr>
            </w:pPr>
            <w:r w:rsidRPr="00391D4F">
              <w:rPr>
                <w:color w:val="000000"/>
                <w:sz w:val="20"/>
                <w:szCs w:val="20"/>
              </w:rPr>
              <w:t>Rate of issue of blood components and products per 1000 population* (2013</w:t>
            </w:r>
            <w:r w:rsidRPr="00391D4F">
              <w:rPr>
                <w:color w:val="000000"/>
                <w:sz w:val="20"/>
                <w:szCs w:val="20"/>
              </w:rPr>
              <w:noBreakHyphen/>
              <w:t>14)</w:t>
            </w:r>
          </w:p>
          <w:p w:rsidR="002E207A" w:rsidRPr="00391D4F" w:rsidRDefault="002E207A" w:rsidP="009A67BD">
            <w:pPr>
              <w:pStyle w:val="ListParagraph"/>
              <w:numPr>
                <w:ilvl w:val="0"/>
                <w:numId w:val="20"/>
              </w:numPr>
              <w:spacing w:after="120"/>
              <w:rPr>
                <w:sz w:val="20"/>
                <w:szCs w:val="20"/>
              </w:rPr>
            </w:pPr>
            <w:r w:rsidRPr="00391D4F">
              <w:rPr>
                <w:sz w:val="20"/>
                <w:szCs w:val="20"/>
              </w:rPr>
              <w:t xml:space="preserve">Percentage of </w:t>
            </w:r>
            <w:r w:rsidR="009A67BD">
              <w:rPr>
                <w:sz w:val="20"/>
                <w:szCs w:val="20"/>
              </w:rPr>
              <w:t>health providers</w:t>
            </w:r>
            <w:r w:rsidRPr="00391D4F">
              <w:rPr>
                <w:sz w:val="20"/>
                <w:szCs w:val="20"/>
              </w:rPr>
              <w:t xml:space="preserve"> stocked at inventory levels in accordance with National Inventory Management Framework* (2015</w:t>
            </w:r>
            <w:r w:rsidRPr="00391D4F">
              <w:rPr>
                <w:sz w:val="20"/>
                <w:szCs w:val="20"/>
              </w:rPr>
              <w:noBreakHyphen/>
              <w:t>16)</w:t>
            </w:r>
          </w:p>
        </w:tc>
      </w:tr>
    </w:tbl>
    <w:p w:rsidR="002E207A" w:rsidRDefault="002E207A">
      <w:pPr>
        <w:spacing w:after="0"/>
      </w:pPr>
      <w:r w:rsidRPr="00A93BAA">
        <w:rPr>
          <w:sz w:val="20"/>
          <w:szCs w:val="20"/>
        </w:rPr>
        <w:t xml:space="preserve">Data sources: *NBA, †Australian Red Cross Blood Service, ‡CSL, ‽Blood Product Suppliers, ⁞Health Providers </w:t>
      </w:r>
      <w:r>
        <w:br w:type="page"/>
      </w:r>
    </w:p>
    <w:p w:rsidR="002E207A" w:rsidRDefault="002E207A" w:rsidP="00B402BF">
      <w:pPr>
        <w:pStyle w:val="Heading3"/>
      </w:pPr>
      <w:bookmarkStart w:id="21" w:name="_Ref341002285"/>
      <w:bookmarkStart w:id="22" w:name="_Ref341002294"/>
      <w:bookmarkStart w:id="23" w:name="_Toc343432041"/>
      <w:r>
        <w:lastRenderedPageBreak/>
        <w:t xml:space="preserve">Table </w:t>
      </w:r>
      <w:r w:rsidR="00A74103">
        <w:fldChar w:fldCharType="begin"/>
      </w:r>
      <w:r w:rsidR="00A74103">
        <w:instrText xml:space="preserve"> SEQ Table \* ARABIC </w:instrText>
      </w:r>
      <w:r w:rsidR="00A74103">
        <w:fldChar w:fldCharType="separate"/>
      </w:r>
      <w:r w:rsidR="00C82CE1">
        <w:rPr>
          <w:noProof/>
        </w:rPr>
        <w:t>5</w:t>
      </w:r>
      <w:r w:rsidR="00A74103">
        <w:rPr>
          <w:noProof/>
        </w:rPr>
        <w:fldChar w:fldCharType="end"/>
      </w:r>
      <w:bookmarkEnd w:id="21"/>
      <w:r>
        <w:t xml:space="preserve">. Blood Sector Performance Scorecard </w:t>
      </w:r>
      <w:r>
        <w:noBreakHyphen/>
        <w:t xml:space="preserve"> Sector </w:t>
      </w:r>
      <w:bookmarkEnd w:id="22"/>
      <w:r>
        <w:t>Data</w:t>
      </w:r>
      <w:bookmarkEnd w:id="23"/>
    </w:p>
    <w:p w:rsidR="002E207A" w:rsidRPr="00B402BF" w:rsidRDefault="002E207A" w:rsidP="00B402BF">
      <w:pPr>
        <w:pStyle w:val="NoSpacing"/>
      </w:pPr>
    </w:p>
    <w:tbl>
      <w:tblPr>
        <w:tblW w:w="932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57" w:type="dxa"/>
          <w:bottom w:w="57" w:type="dxa"/>
        </w:tblCellMar>
        <w:tblLook w:val="00A0" w:firstRow="1" w:lastRow="0" w:firstColumn="1" w:lastColumn="0" w:noHBand="0" w:noVBand="0"/>
      </w:tblPr>
      <w:tblGrid>
        <w:gridCol w:w="1239"/>
        <w:gridCol w:w="8083"/>
      </w:tblGrid>
      <w:tr w:rsidR="002E207A" w:rsidRPr="00A93BAA" w:rsidTr="007649D7">
        <w:trPr>
          <w:tblHeader/>
        </w:trPr>
        <w:tc>
          <w:tcPr>
            <w:tcW w:w="1134" w:type="dxa"/>
            <w:shd w:val="clear" w:color="auto" w:fill="C00000"/>
            <w:vAlign w:val="center"/>
          </w:tcPr>
          <w:p w:rsidR="002E207A" w:rsidRPr="00391D4F" w:rsidRDefault="002E207A" w:rsidP="00391D4F">
            <w:pPr>
              <w:contextualSpacing/>
              <w:jc w:val="center"/>
              <w:rPr>
                <w:b/>
                <w:color w:val="FFFFFF"/>
                <w:sz w:val="20"/>
                <w:szCs w:val="20"/>
              </w:rPr>
            </w:pPr>
            <w:r w:rsidRPr="00391D4F">
              <w:rPr>
                <w:b/>
                <w:color w:val="FFFFFF"/>
                <w:sz w:val="20"/>
                <w:szCs w:val="20"/>
              </w:rPr>
              <w:t>Criteria</w:t>
            </w:r>
          </w:p>
        </w:tc>
        <w:tc>
          <w:tcPr>
            <w:tcW w:w="7689" w:type="dxa"/>
            <w:shd w:val="clear" w:color="auto" w:fill="C00000"/>
            <w:vAlign w:val="center"/>
          </w:tcPr>
          <w:p w:rsidR="002E207A" w:rsidRPr="00391D4F" w:rsidRDefault="002E207A" w:rsidP="00391D4F">
            <w:pPr>
              <w:contextualSpacing/>
              <w:jc w:val="center"/>
              <w:rPr>
                <w:b/>
                <w:color w:val="FFFFFF"/>
                <w:sz w:val="20"/>
                <w:szCs w:val="20"/>
              </w:rPr>
            </w:pPr>
            <w:r w:rsidRPr="00391D4F">
              <w:rPr>
                <w:b/>
                <w:color w:val="FFFFFF"/>
                <w:sz w:val="20"/>
                <w:szCs w:val="20"/>
              </w:rPr>
              <w:t>Measures</w:t>
            </w:r>
          </w:p>
        </w:tc>
      </w:tr>
      <w:tr w:rsidR="002E207A" w:rsidRPr="00A93BAA" w:rsidTr="00391D4F">
        <w:tc>
          <w:tcPr>
            <w:tcW w:w="1134" w:type="dxa"/>
            <w:shd w:val="clear" w:color="auto" w:fill="FFD5D5"/>
            <w:vAlign w:val="center"/>
          </w:tcPr>
          <w:p w:rsidR="002E207A" w:rsidRPr="00391D4F" w:rsidRDefault="002E207A" w:rsidP="00A93BAA">
            <w:pPr>
              <w:contextualSpacing/>
              <w:rPr>
                <w:b/>
                <w:color w:val="000000"/>
                <w:sz w:val="20"/>
                <w:szCs w:val="20"/>
              </w:rPr>
            </w:pPr>
            <w:r w:rsidRPr="00391D4F">
              <w:rPr>
                <w:b/>
                <w:color w:val="000000"/>
                <w:sz w:val="20"/>
                <w:szCs w:val="20"/>
              </w:rPr>
              <w:t>Effective</w:t>
            </w:r>
          </w:p>
        </w:tc>
        <w:tc>
          <w:tcPr>
            <w:tcW w:w="7689" w:type="dxa"/>
            <w:shd w:val="clear" w:color="auto" w:fill="F2F2F2"/>
          </w:tcPr>
          <w:p w:rsidR="002E207A" w:rsidRPr="00391D4F" w:rsidRDefault="002E207A" w:rsidP="00391D4F">
            <w:pPr>
              <w:pStyle w:val="ListParagraph"/>
              <w:numPr>
                <w:ilvl w:val="0"/>
                <w:numId w:val="21"/>
              </w:numPr>
              <w:spacing w:after="120"/>
              <w:rPr>
                <w:color w:val="C00000"/>
                <w:sz w:val="20"/>
                <w:szCs w:val="20"/>
              </w:rPr>
            </w:pPr>
            <w:r w:rsidRPr="00391D4F">
              <w:rPr>
                <w:color w:val="000000"/>
                <w:sz w:val="20"/>
                <w:szCs w:val="20"/>
              </w:rPr>
              <w:t>Percentage of national contract performance requirements met* (2013</w:t>
            </w:r>
            <w:r w:rsidRPr="00391D4F">
              <w:rPr>
                <w:color w:val="000000"/>
                <w:sz w:val="20"/>
                <w:szCs w:val="20"/>
              </w:rPr>
              <w:noBreakHyphen/>
              <w:t>14)</w:t>
            </w:r>
          </w:p>
          <w:p w:rsidR="002E207A" w:rsidRPr="00391D4F" w:rsidRDefault="002E207A" w:rsidP="00391D4F">
            <w:pPr>
              <w:pStyle w:val="ListParagraph"/>
              <w:numPr>
                <w:ilvl w:val="0"/>
                <w:numId w:val="21"/>
              </w:numPr>
              <w:spacing w:after="120"/>
              <w:rPr>
                <w:color w:val="C00000"/>
                <w:sz w:val="20"/>
                <w:szCs w:val="20"/>
              </w:rPr>
            </w:pPr>
            <w:r w:rsidRPr="00391D4F">
              <w:rPr>
                <w:sz w:val="20"/>
                <w:szCs w:val="20"/>
              </w:rPr>
              <w:t>Completion rate for Multi</w:t>
            </w:r>
            <w:r w:rsidRPr="00391D4F">
              <w:rPr>
                <w:sz w:val="20"/>
                <w:szCs w:val="20"/>
              </w:rPr>
              <w:noBreakHyphen/>
              <w:t>Criteria Analysis Framework assessment of proposals for changes to products funded under Schedule 4 of the National Blood Agreement* (201</w:t>
            </w:r>
            <w:r w:rsidR="007C225B">
              <w:rPr>
                <w:sz w:val="20"/>
                <w:szCs w:val="20"/>
              </w:rPr>
              <w:t>3</w:t>
            </w:r>
            <w:r w:rsidRPr="00391D4F">
              <w:rPr>
                <w:sz w:val="20"/>
                <w:szCs w:val="20"/>
              </w:rPr>
              <w:noBreakHyphen/>
              <w:t>1</w:t>
            </w:r>
            <w:r w:rsidR="007C225B">
              <w:rPr>
                <w:sz w:val="20"/>
                <w:szCs w:val="20"/>
              </w:rPr>
              <w:t>4</w:t>
            </w:r>
            <w:r w:rsidRPr="00391D4F">
              <w:rPr>
                <w:sz w:val="20"/>
                <w:szCs w:val="20"/>
              </w:rPr>
              <w:t>)</w:t>
            </w:r>
          </w:p>
          <w:p w:rsidR="002E207A" w:rsidRPr="00391D4F" w:rsidRDefault="002E207A" w:rsidP="004D0DFD">
            <w:pPr>
              <w:pStyle w:val="ListParagraph"/>
              <w:numPr>
                <w:ilvl w:val="0"/>
                <w:numId w:val="21"/>
              </w:numPr>
              <w:spacing w:after="120"/>
              <w:rPr>
                <w:color w:val="C00000"/>
                <w:sz w:val="20"/>
                <w:szCs w:val="20"/>
              </w:rPr>
            </w:pPr>
            <w:r w:rsidRPr="00391D4F">
              <w:rPr>
                <w:sz w:val="20"/>
                <w:szCs w:val="20"/>
              </w:rPr>
              <w:t>Percentage of blood component orders filled without substitution* (2014</w:t>
            </w:r>
            <w:r w:rsidRPr="00391D4F">
              <w:rPr>
                <w:sz w:val="20"/>
                <w:szCs w:val="20"/>
              </w:rPr>
              <w:noBreakHyphen/>
              <w:t>15)</w:t>
            </w:r>
            <w:r>
              <w:rPr>
                <w:sz w:val="20"/>
                <w:szCs w:val="20"/>
              </w:rPr>
              <w:t xml:space="preserve"> </w:t>
            </w:r>
          </w:p>
        </w:tc>
      </w:tr>
      <w:tr w:rsidR="002E207A" w:rsidRPr="00A93BAA" w:rsidTr="00391D4F">
        <w:tc>
          <w:tcPr>
            <w:tcW w:w="1134" w:type="dxa"/>
            <w:shd w:val="clear" w:color="auto" w:fill="FFD5D5"/>
            <w:vAlign w:val="center"/>
          </w:tcPr>
          <w:p w:rsidR="002E207A" w:rsidRPr="00391D4F" w:rsidRDefault="002E207A" w:rsidP="00A93BAA">
            <w:pPr>
              <w:contextualSpacing/>
              <w:rPr>
                <w:b/>
                <w:color w:val="000000"/>
                <w:sz w:val="20"/>
                <w:szCs w:val="20"/>
              </w:rPr>
            </w:pPr>
            <w:r w:rsidRPr="00391D4F">
              <w:rPr>
                <w:b/>
                <w:color w:val="000000"/>
                <w:sz w:val="20"/>
                <w:szCs w:val="20"/>
              </w:rPr>
              <w:t>Safe</w:t>
            </w:r>
          </w:p>
        </w:tc>
        <w:tc>
          <w:tcPr>
            <w:tcW w:w="7689" w:type="dxa"/>
            <w:shd w:val="clear" w:color="auto" w:fill="F2F2F2"/>
          </w:tcPr>
          <w:p w:rsidR="002E207A" w:rsidRPr="00391D4F" w:rsidRDefault="002E207A" w:rsidP="00391D4F">
            <w:pPr>
              <w:pStyle w:val="ListParagraph"/>
              <w:numPr>
                <w:ilvl w:val="0"/>
                <w:numId w:val="20"/>
              </w:numPr>
              <w:spacing w:after="120"/>
              <w:rPr>
                <w:sz w:val="20"/>
                <w:szCs w:val="20"/>
              </w:rPr>
            </w:pPr>
            <w:r w:rsidRPr="00391D4F">
              <w:rPr>
                <w:color w:val="000000"/>
                <w:sz w:val="20"/>
                <w:szCs w:val="20"/>
              </w:rPr>
              <w:t>Percentage of products and services that meet TGA requirements* (2013</w:t>
            </w:r>
            <w:r w:rsidRPr="00391D4F">
              <w:rPr>
                <w:color w:val="000000"/>
                <w:sz w:val="20"/>
                <w:szCs w:val="20"/>
              </w:rPr>
              <w:noBreakHyphen/>
              <w:t>14)</w:t>
            </w:r>
          </w:p>
        </w:tc>
      </w:tr>
      <w:tr w:rsidR="002E207A" w:rsidRPr="00A93BAA" w:rsidTr="00391D4F">
        <w:tc>
          <w:tcPr>
            <w:tcW w:w="1134" w:type="dxa"/>
            <w:shd w:val="clear" w:color="auto" w:fill="FFD5D5"/>
            <w:vAlign w:val="center"/>
          </w:tcPr>
          <w:p w:rsidR="002E207A" w:rsidRPr="00391D4F" w:rsidRDefault="002E207A" w:rsidP="00A93BAA">
            <w:pPr>
              <w:contextualSpacing/>
              <w:rPr>
                <w:b/>
                <w:color w:val="000000"/>
                <w:sz w:val="20"/>
                <w:szCs w:val="20"/>
              </w:rPr>
            </w:pPr>
            <w:r w:rsidRPr="00391D4F">
              <w:rPr>
                <w:b/>
                <w:color w:val="000000"/>
                <w:sz w:val="20"/>
                <w:szCs w:val="20"/>
              </w:rPr>
              <w:t>Responsive</w:t>
            </w:r>
          </w:p>
        </w:tc>
        <w:tc>
          <w:tcPr>
            <w:tcW w:w="7689" w:type="dxa"/>
            <w:shd w:val="clear" w:color="auto" w:fill="F2F2F2"/>
          </w:tcPr>
          <w:p w:rsidR="002E207A" w:rsidRPr="00391D4F" w:rsidRDefault="002E207A" w:rsidP="00391D4F">
            <w:pPr>
              <w:pStyle w:val="ListParagraph"/>
              <w:numPr>
                <w:ilvl w:val="0"/>
                <w:numId w:val="20"/>
              </w:numPr>
              <w:spacing w:after="120"/>
              <w:rPr>
                <w:sz w:val="20"/>
                <w:szCs w:val="20"/>
              </w:rPr>
            </w:pPr>
            <w:r w:rsidRPr="00391D4F">
              <w:rPr>
                <w:color w:val="000000"/>
                <w:sz w:val="20"/>
                <w:szCs w:val="20"/>
              </w:rPr>
              <w:t>National Blood Sector Data and Information Governance Framework published* (2013</w:t>
            </w:r>
            <w:r w:rsidRPr="00391D4F">
              <w:rPr>
                <w:color w:val="000000"/>
                <w:sz w:val="20"/>
                <w:szCs w:val="20"/>
              </w:rPr>
              <w:noBreakHyphen/>
              <w:t>14)</w:t>
            </w:r>
          </w:p>
          <w:p w:rsidR="002E207A" w:rsidRPr="00391D4F" w:rsidRDefault="002E207A" w:rsidP="00391D4F">
            <w:pPr>
              <w:pStyle w:val="ListParagraph"/>
              <w:numPr>
                <w:ilvl w:val="0"/>
                <w:numId w:val="20"/>
              </w:numPr>
              <w:spacing w:after="120"/>
              <w:rPr>
                <w:sz w:val="20"/>
                <w:szCs w:val="20"/>
              </w:rPr>
            </w:pPr>
            <w:r w:rsidRPr="00391D4F">
              <w:rPr>
                <w:sz w:val="20"/>
                <w:szCs w:val="20"/>
              </w:rPr>
              <w:t>Data capture rate for clotting factor use &gt;85% issued product* (2013</w:t>
            </w:r>
            <w:r w:rsidRPr="00391D4F">
              <w:rPr>
                <w:sz w:val="20"/>
                <w:szCs w:val="20"/>
              </w:rPr>
              <w:noBreakHyphen/>
              <w:t>14)</w:t>
            </w:r>
          </w:p>
          <w:p w:rsidR="00430CAC" w:rsidRPr="00430CAC" w:rsidRDefault="002E207A" w:rsidP="004D0DFD">
            <w:pPr>
              <w:pStyle w:val="ListParagraph"/>
              <w:numPr>
                <w:ilvl w:val="0"/>
                <w:numId w:val="20"/>
              </w:numPr>
              <w:spacing w:after="120"/>
              <w:rPr>
                <w:sz w:val="20"/>
                <w:szCs w:val="20"/>
              </w:rPr>
            </w:pPr>
            <w:r w:rsidRPr="004D0DFD">
              <w:rPr>
                <w:sz w:val="20"/>
                <w:szCs w:val="20"/>
              </w:rPr>
              <w:t>Blood product order fulfilment rate &gt;95%</w:t>
            </w:r>
            <w:r w:rsidRPr="004D0DFD">
              <w:rPr>
                <w:color w:val="000000"/>
                <w:sz w:val="20"/>
                <w:szCs w:val="20"/>
              </w:rPr>
              <w:t>† (2013</w:t>
            </w:r>
            <w:r w:rsidRPr="004D0DFD">
              <w:rPr>
                <w:color w:val="000000"/>
                <w:sz w:val="20"/>
                <w:szCs w:val="20"/>
              </w:rPr>
              <w:noBreakHyphen/>
              <w:t>14)</w:t>
            </w:r>
          </w:p>
          <w:p w:rsidR="002E207A" w:rsidRPr="004D0DFD" w:rsidRDefault="002E207A" w:rsidP="004D0DFD">
            <w:pPr>
              <w:pStyle w:val="ListParagraph"/>
              <w:numPr>
                <w:ilvl w:val="0"/>
                <w:numId w:val="20"/>
              </w:numPr>
              <w:spacing w:after="120"/>
              <w:rPr>
                <w:sz w:val="20"/>
                <w:szCs w:val="20"/>
              </w:rPr>
            </w:pPr>
            <w:r w:rsidRPr="004D0DFD">
              <w:rPr>
                <w:color w:val="000000"/>
                <w:sz w:val="20"/>
                <w:szCs w:val="20"/>
              </w:rPr>
              <w:t xml:space="preserve">Percentage of JBC decisions </w:t>
            </w:r>
            <w:r w:rsidR="00430CAC">
              <w:rPr>
                <w:color w:val="000000"/>
                <w:sz w:val="20"/>
                <w:szCs w:val="20"/>
              </w:rPr>
              <w:t>progressed</w:t>
            </w:r>
            <w:r w:rsidR="004D0DFD">
              <w:rPr>
                <w:color w:val="000000"/>
                <w:sz w:val="20"/>
                <w:szCs w:val="20"/>
              </w:rPr>
              <w:t xml:space="preserve"> </w:t>
            </w:r>
            <w:r w:rsidRPr="004D0DFD">
              <w:rPr>
                <w:color w:val="000000"/>
                <w:sz w:val="20"/>
                <w:szCs w:val="20"/>
              </w:rPr>
              <w:t>within three months of meeting* (2013</w:t>
            </w:r>
            <w:r w:rsidRPr="004D0DFD">
              <w:rPr>
                <w:color w:val="000000"/>
                <w:sz w:val="20"/>
                <w:szCs w:val="20"/>
              </w:rPr>
              <w:noBreakHyphen/>
              <w:t>14)</w:t>
            </w:r>
          </w:p>
          <w:p w:rsidR="002E207A" w:rsidRPr="00391D4F" w:rsidRDefault="002E207A" w:rsidP="009A67BD">
            <w:pPr>
              <w:pStyle w:val="ListParagraph"/>
              <w:numPr>
                <w:ilvl w:val="0"/>
                <w:numId w:val="20"/>
              </w:numPr>
              <w:spacing w:after="120"/>
              <w:rPr>
                <w:sz w:val="20"/>
                <w:szCs w:val="20"/>
              </w:rPr>
            </w:pPr>
            <w:r w:rsidRPr="00391D4F">
              <w:rPr>
                <w:sz w:val="20"/>
                <w:szCs w:val="20"/>
              </w:rPr>
              <w:t xml:space="preserve">Percentage of </w:t>
            </w:r>
            <w:r w:rsidR="009A67BD">
              <w:rPr>
                <w:sz w:val="20"/>
                <w:szCs w:val="20"/>
              </w:rPr>
              <w:t>health providers</w:t>
            </w:r>
            <w:r w:rsidR="009A67BD" w:rsidRPr="00391D4F">
              <w:rPr>
                <w:sz w:val="20"/>
                <w:szCs w:val="20"/>
              </w:rPr>
              <w:t xml:space="preserve"> </w:t>
            </w:r>
            <w:r w:rsidRPr="00391D4F">
              <w:rPr>
                <w:sz w:val="20"/>
                <w:szCs w:val="20"/>
              </w:rPr>
              <w:t>supply complaints resolved within agreed timeframe† (2014</w:t>
            </w:r>
            <w:r w:rsidRPr="00391D4F">
              <w:rPr>
                <w:sz w:val="20"/>
                <w:szCs w:val="20"/>
              </w:rPr>
              <w:noBreakHyphen/>
              <w:t>15)</w:t>
            </w:r>
          </w:p>
        </w:tc>
      </w:tr>
      <w:tr w:rsidR="002E207A" w:rsidRPr="00A93BAA" w:rsidTr="00391D4F">
        <w:tc>
          <w:tcPr>
            <w:tcW w:w="1134" w:type="dxa"/>
            <w:shd w:val="clear" w:color="auto" w:fill="FFD5D5"/>
            <w:vAlign w:val="center"/>
          </w:tcPr>
          <w:p w:rsidR="002E207A" w:rsidRPr="00391D4F" w:rsidRDefault="002E207A" w:rsidP="00A93BAA">
            <w:pPr>
              <w:contextualSpacing/>
              <w:rPr>
                <w:b/>
                <w:color w:val="000000"/>
                <w:sz w:val="20"/>
                <w:szCs w:val="20"/>
              </w:rPr>
            </w:pPr>
            <w:r w:rsidRPr="00391D4F">
              <w:rPr>
                <w:b/>
                <w:color w:val="000000"/>
                <w:sz w:val="20"/>
                <w:szCs w:val="20"/>
              </w:rPr>
              <w:t>Continuous</w:t>
            </w:r>
          </w:p>
        </w:tc>
        <w:tc>
          <w:tcPr>
            <w:tcW w:w="7689" w:type="dxa"/>
            <w:shd w:val="clear" w:color="auto" w:fill="F2F2F2"/>
          </w:tcPr>
          <w:p w:rsidR="002E207A" w:rsidRPr="00391D4F" w:rsidRDefault="002E207A" w:rsidP="00391D4F">
            <w:pPr>
              <w:pStyle w:val="ListParagraph"/>
              <w:numPr>
                <w:ilvl w:val="0"/>
                <w:numId w:val="21"/>
              </w:numPr>
              <w:spacing w:after="120"/>
              <w:rPr>
                <w:color w:val="C00000"/>
                <w:sz w:val="20"/>
                <w:szCs w:val="20"/>
              </w:rPr>
            </w:pPr>
            <w:r w:rsidRPr="00391D4F">
              <w:rPr>
                <w:color w:val="000000"/>
                <w:sz w:val="20"/>
                <w:szCs w:val="20"/>
              </w:rPr>
              <w:t>Number of jurisdictions with emergency blood management arrangements in place* (2013</w:t>
            </w:r>
            <w:r w:rsidRPr="00391D4F">
              <w:rPr>
                <w:color w:val="000000"/>
                <w:sz w:val="20"/>
                <w:szCs w:val="20"/>
              </w:rPr>
              <w:noBreakHyphen/>
              <w:t>14)</w:t>
            </w:r>
          </w:p>
          <w:p w:rsidR="002E207A" w:rsidRPr="00391D4F" w:rsidRDefault="002E207A" w:rsidP="004D0DFD">
            <w:pPr>
              <w:pStyle w:val="ListParagraph"/>
              <w:numPr>
                <w:ilvl w:val="0"/>
                <w:numId w:val="21"/>
              </w:numPr>
              <w:spacing w:after="120"/>
              <w:rPr>
                <w:color w:val="C00000"/>
                <w:sz w:val="20"/>
                <w:szCs w:val="20"/>
              </w:rPr>
            </w:pPr>
            <w:r w:rsidRPr="00391D4F">
              <w:rPr>
                <w:sz w:val="20"/>
                <w:szCs w:val="20"/>
              </w:rPr>
              <w:t xml:space="preserve">Number of research applications </w:t>
            </w:r>
            <w:r w:rsidR="004D0DFD">
              <w:rPr>
                <w:sz w:val="20"/>
                <w:szCs w:val="20"/>
              </w:rPr>
              <w:t xml:space="preserve">for the sector </w:t>
            </w:r>
            <w:r w:rsidRPr="00391D4F">
              <w:rPr>
                <w:sz w:val="20"/>
                <w:szCs w:val="20"/>
              </w:rPr>
              <w:t>citing the National Blood Sector Research and Development Priorities* (2014-15)</w:t>
            </w:r>
          </w:p>
        </w:tc>
      </w:tr>
      <w:tr w:rsidR="002E207A" w:rsidRPr="00A93BAA" w:rsidTr="00391D4F">
        <w:tc>
          <w:tcPr>
            <w:tcW w:w="1134" w:type="dxa"/>
            <w:shd w:val="clear" w:color="auto" w:fill="FFD5D5"/>
            <w:vAlign w:val="center"/>
          </w:tcPr>
          <w:p w:rsidR="002E207A" w:rsidRPr="00391D4F" w:rsidRDefault="002E207A" w:rsidP="00A93BAA">
            <w:pPr>
              <w:contextualSpacing/>
              <w:rPr>
                <w:b/>
                <w:color w:val="000000"/>
                <w:sz w:val="20"/>
                <w:szCs w:val="20"/>
              </w:rPr>
            </w:pPr>
            <w:r w:rsidRPr="00391D4F">
              <w:rPr>
                <w:b/>
                <w:color w:val="000000"/>
                <w:sz w:val="20"/>
                <w:szCs w:val="20"/>
              </w:rPr>
              <w:t>Accessible</w:t>
            </w:r>
          </w:p>
        </w:tc>
        <w:tc>
          <w:tcPr>
            <w:tcW w:w="7689" w:type="dxa"/>
            <w:shd w:val="clear" w:color="auto" w:fill="F2F2F2"/>
          </w:tcPr>
          <w:p w:rsidR="002E207A" w:rsidRPr="00391D4F" w:rsidRDefault="002E207A" w:rsidP="00391D4F">
            <w:pPr>
              <w:pStyle w:val="ListParagraph"/>
              <w:numPr>
                <w:ilvl w:val="0"/>
                <w:numId w:val="20"/>
              </w:numPr>
              <w:spacing w:after="120"/>
              <w:rPr>
                <w:sz w:val="20"/>
                <w:szCs w:val="20"/>
              </w:rPr>
            </w:pPr>
            <w:r w:rsidRPr="00391D4F">
              <w:rPr>
                <w:color w:val="000000"/>
                <w:sz w:val="20"/>
                <w:szCs w:val="20"/>
              </w:rPr>
              <w:t>Rate of NBA compliance with IPS and FOI requests* (2013</w:t>
            </w:r>
            <w:r w:rsidRPr="00391D4F">
              <w:rPr>
                <w:color w:val="000000"/>
                <w:sz w:val="20"/>
                <w:szCs w:val="20"/>
              </w:rPr>
              <w:noBreakHyphen/>
              <w:t>14)</w:t>
            </w:r>
          </w:p>
          <w:p w:rsidR="002E207A" w:rsidRPr="00391D4F" w:rsidRDefault="002E207A" w:rsidP="00391D4F">
            <w:pPr>
              <w:pStyle w:val="ListParagraph"/>
              <w:numPr>
                <w:ilvl w:val="0"/>
                <w:numId w:val="20"/>
              </w:numPr>
              <w:spacing w:after="120"/>
              <w:rPr>
                <w:sz w:val="20"/>
                <w:szCs w:val="20"/>
              </w:rPr>
            </w:pPr>
            <w:r w:rsidRPr="00391D4F">
              <w:rPr>
                <w:color w:val="000000"/>
                <w:sz w:val="20"/>
                <w:szCs w:val="20"/>
              </w:rPr>
              <w:t>Number of requests met for national data complying with the National Blood Sector Data and Information Governance Framework* (2013</w:t>
            </w:r>
            <w:r w:rsidRPr="00391D4F">
              <w:rPr>
                <w:color w:val="000000"/>
                <w:sz w:val="20"/>
                <w:szCs w:val="20"/>
              </w:rPr>
              <w:noBreakHyphen/>
              <w:t>14)</w:t>
            </w:r>
          </w:p>
          <w:p w:rsidR="002E207A" w:rsidRPr="00391D4F" w:rsidRDefault="002E207A" w:rsidP="00391D4F">
            <w:pPr>
              <w:pStyle w:val="ListParagraph"/>
              <w:numPr>
                <w:ilvl w:val="0"/>
                <w:numId w:val="20"/>
              </w:numPr>
              <w:spacing w:after="120"/>
              <w:rPr>
                <w:sz w:val="20"/>
                <w:szCs w:val="20"/>
              </w:rPr>
            </w:pPr>
            <w:r w:rsidRPr="00391D4F">
              <w:rPr>
                <w:color w:val="000000"/>
                <w:sz w:val="20"/>
                <w:szCs w:val="20"/>
              </w:rPr>
              <w:t>Number of guidelines reviewed or published* (2013</w:t>
            </w:r>
            <w:r w:rsidRPr="00391D4F">
              <w:rPr>
                <w:color w:val="000000"/>
                <w:sz w:val="20"/>
                <w:szCs w:val="20"/>
              </w:rPr>
              <w:noBreakHyphen/>
              <w:t>14)</w:t>
            </w:r>
          </w:p>
        </w:tc>
      </w:tr>
      <w:tr w:rsidR="002E207A" w:rsidRPr="00A93BAA" w:rsidTr="00391D4F">
        <w:tc>
          <w:tcPr>
            <w:tcW w:w="1134" w:type="dxa"/>
            <w:shd w:val="clear" w:color="auto" w:fill="FFD5D5"/>
            <w:vAlign w:val="center"/>
          </w:tcPr>
          <w:p w:rsidR="002E207A" w:rsidRPr="00391D4F" w:rsidRDefault="002E207A" w:rsidP="00A93BAA">
            <w:pPr>
              <w:contextualSpacing/>
              <w:rPr>
                <w:b/>
                <w:color w:val="000000"/>
                <w:sz w:val="20"/>
                <w:szCs w:val="20"/>
              </w:rPr>
            </w:pPr>
            <w:r w:rsidRPr="00391D4F">
              <w:rPr>
                <w:b/>
                <w:color w:val="000000"/>
                <w:sz w:val="20"/>
                <w:szCs w:val="20"/>
              </w:rPr>
              <w:t>Efficient and Sustainable</w:t>
            </w:r>
          </w:p>
        </w:tc>
        <w:tc>
          <w:tcPr>
            <w:tcW w:w="7689" w:type="dxa"/>
            <w:shd w:val="clear" w:color="auto" w:fill="F2F2F2"/>
          </w:tcPr>
          <w:p w:rsidR="002E207A" w:rsidRPr="00391D4F" w:rsidRDefault="002E207A" w:rsidP="00391D4F">
            <w:pPr>
              <w:pStyle w:val="ListParagraph"/>
              <w:numPr>
                <w:ilvl w:val="0"/>
                <w:numId w:val="20"/>
              </w:numPr>
              <w:spacing w:after="120"/>
              <w:rPr>
                <w:sz w:val="20"/>
                <w:szCs w:val="20"/>
              </w:rPr>
            </w:pPr>
            <w:r w:rsidRPr="00391D4F">
              <w:rPr>
                <w:color w:val="000000"/>
                <w:sz w:val="20"/>
                <w:szCs w:val="20"/>
              </w:rPr>
              <w:t>Cost of National Blood Agreement increases within 1% of health sector increases* (2013</w:t>
            </w:r>
            <w:r w:rsidRPr="00391D4F">
              <w:rPr>
                <w:color w:val="000000"/>
                <w:sz w:val="20"/>
                <w:szCs w:val="20"/>
              </w:rPr>
              <w:noBreakHyphen/>
              <w:t>14)</w:t>
            </w:r>
          </w:p>
          <w:p w:rsidR="002E207A" w:rsidRPr="00391D4F" w:rsidRDefault="002E207A" w:rsidP="00391D4F">
            <w:pPr>
              <w:pStyle w:val="ListParagraph"/>
              <w:numPr>
                <w:ilvl w:val="0"/>
                <w:numId w:val="20"/>
              </w:numPr>
              <w:spacing w:after="120"/>
              <w:rPr>
                <w:sz w:val="20"/>
                <w:szCs w:val="20"/>
              </w:rPr>
            </w:pPr>
            <w:r w:rsidRPr="00391D4F">
              <w:rPr>
                <w:color w:val="000000"/>
                <w:sz w:val="20"/>
                <w:szCs w:val="20"/>
              </w:rPr>
              <w:t>Variance of &lt;</w:t>
            </w:r>
            <w:r w:rsidR="00C478B6">
              <w:rPr>
                <w:color w:val="000000"/>
                <w:sz w:val="20"/>
                <w:szCs w:val="20"/>
              </w:rPr>
              <w:t>5</w:t>
            </w:r>
            <w:r w:rsidRPr="00391D4F">
              <w:rPr>
                <w:color w:val="000000"/>
                <w:sz w:val="20"/>
                <w:szCs w:val="20"/>
              </w:rPr>
              <w:t xml:space="preserve">% in </w:t>
            </w:r>
            <w:r w:rsidR="00C478B6">
              <w:rPr>
                <w:color w:val="000000"/>
                <w:sz w:val="20"/>
                <w:szCs w:val="20"/>
              </w:rPr>
              <w:t xml:space="preserve">total </w:t>
            </w:r>
            <w:r w:rsidRPr="00391D4F">
              <w:rPr>
                <w:color w:val="000000"/>
                <w:sz w:val="20"/>
                <w:szCs w:val="20"/>
              </w:rPr>
              <w:t>performance against the NSP&amp;B* (2013</w:t>
            </w:r>
            <w:r w:rsidRPr="00391D4F">
              <w:rPr>
                <w:color w:val="000000"/>
                <w:sz w:val="20"/>
                <w:szCs w:val="20"/>
              </w:rPr>
              <w:noBreakHyphen/>
              <w:t>14)</w:t>
            </w:r>
          </w:p>
          <w:p w:rsidR="002E207A" w:rsidRPr="00391D4F" w:rsidRDefault="009050F2" w:rsidP="00391D4F">
            <w:pPr>
              <w:pStyle w:val="ListParagraph"/>
              <w:numPr>
                <w:ilvl w:val="0"/>
                <w:numId w:val="20"/>
              </w:numPr>
              <w:spacing w:after="120"/>
              <w:rPr>
                <w:sz w:val="20"/>
                <w:szCs w:val="20"/>
              </w:rPr>
            </w:pPr>
            <w:r>
              <w:rPr>
                <w:color w:val="000000"/>
                <w:sz w:val="20"/>
                <w:szCs w:val="20"/>
              </w:rPr>
              <w:t>ROI on NBA administered projects</w:t>
            </w:r>
            <w:r w:rsidR="002E207A" w:rsidRPr="00391D4F">
              <w:rPr>
                <w:color w:val="000000"/>
                <w:sz w:val="20"/>
                <w:szCs w:val="20"/>
              </w:rPr>
              <w:t xml:space="preserve"> (2013</w:t>
            </w:r>
            <w:r w:rsidR="002E207A" w:rsidRPr="00391D4F">
              <w:rPr>
                <w:color w:val="000000"/>
                <w:sz w:val="20"/>
                <w:szCs w:val="20"/>
              </w:rPr>
              <w:noBreakHyphen/>
              <w:t>14)</w:t>
            </w:r>
          </w:p>
          <w:p w:rsidR="002E207A" w:rsidRPr="00391D4F" w:rsidRDefault="002E207A" w:rsidP="00391D4F">
            <w:pPr>
              <w:pStyle w:val="ListParagraph"/>
              <w:numPr>
                <w:ilvl w:val="0"/>
                <w:numId w:val="20"/>
              </w:numPr>
              <w:spacing w:after="120"/>
              <w:rPr>
                <w:sz w:val="20"/>
                <w:szCs w:val="20"/>
              </w:rPr>
            </w:pPr>
            <w:r w:rsidRPr="00391D4F">
              <w:rPr>
                <w:color w:val="000000"/>
                <w:sz w:val="20"/>
                <w:szCs w:val="20"/>
              </w:rPr>
              <w:t>Value for money measures from national procurement are transparently reported* (2013</w:t>
            </w:r>
            <w:r w:rsidRPr="00391D4F">
              <w:rPr>
                <w:color w:val="000000"/>
                <w:sz w:val="20"/>
                <w:szCs w:val="20"/>
              </w:rPr>
              <w:noBreakHyphen/>
              <w:t>14)</w:t>
            </w:r>
          </w:p>
          <w:p w:rsidR="002E207A" w:rsidRPr="00391D4F" w:rsidRDefault="002E207A" w:rsidP="00391D4F">
            <w:pPr>
              <w:pStyle w:val="ListParagraph"/>
              <w:numPr>
                <w:ilvl w:val="0"/>
                <w:numId w:val="20"/>
              </w:numPr>
              <w:spacing w:after="120"/>
              <w:rPr>
                <w:sz w:val="20"/>
                <w:szCs w:val="20"/>
              </w:rPr>
            </w:pPr>
            <w:r w:rsidRPr="00391D4F">
              <w:rPr>
                <w:color w:val="000000"/>
                <w:sz w:val="20"/>
                <w:szCs w:val="20"/>
              </w:rPr>
              <w:t>Portfolio Budget Statement Deliverables and Key Performance Indicators reported* (2013</w:t>
            </w:r>
            <w:r w:rsidRPr="00391D4F">
              <w:rPr>
                <w:color w:val="000000"/>
                <w:sz w:val="20"/>
                <w:szCs w:val="20"/>
              </w:rPr>
              <w:noBreakHyphen/>
              <w:t>14)</w:t>
            </w:r>
          </w:p>
        </w:tc>
      </w:tr>
    </w:tbl>
    <w:p w:rsidR="002E207A" w:rsidRPr="00A93BAA" w:rsidRDefault="002E207A" w:rsidP="00A93BAA">
      <w:pPr>
        <w:rPr>
          <w:sz w:val="20"/>
          <w:szCs w:val="20"/>
        </w:rPr>
      </w:pPr>
      <w:r w:rsidRPr="00A93BAA">
        <w:rPr>
          <w:sz w:val="20"/>
          <w:szCs w:val="20"/>
        </w:rPr>
        <w:t xml:space="preserve">Data sources: *NBA, †Australian Red Cross Blood Service, ‡CSL, ‽Blood Product Suppliers, ⁞Health Providers </w:t>
      </w:r>
    </w:p>
    <w:p w:rsidR="002E207A" w:rsidRPr="00DB268D" w:rsidRDefault="002E207A" w:rsidP="00DB268D">
      <w:pPr>
        <w:pStyle w:val="Heading1"/>
      </w:pPr>
      <w:bookmarkStart w:id="24" w:name="_Toc343432042"/>
      <w:r w:rsidRPr="00DB268D">
        <w:lastRenderedPageBreak/>
        <w:t>Acronyms and glossary of terms</w:t>
      </w:r>
      <w:bookmarkEnd w:id="24"/>
    </w:p>
    <w:p w:rsidR="002E207A" w:rsidRDefault="002E207A" w:rsidP="00DB268D">
      <w:pPr>
        <w:pStyle w:val="Heading2"/>
      </w:pPr>
      <w:bookmarkStart w:id="25" w:name="_Toc343432043"/>
      <w:r>
        <w:t>Acronyms</w:t>
      </w:r>
      <w:bookmarkEnd w:id="25"/>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57" w:type="dxa"/>
          <w:bottom w:w="57" w:type="dxa"/>
        </w:tblCellMar>
        <w:tblLook w:val="0080" w:firstRow="0" w:lastRow="0" w:firstColumn="1" w:lastColumn="0" w:noHBand="0" w:noVBand="0"/>
      </w:tblPr>
      <w:tblGrid>
        <w:gridCol w:w="1611"/>
        <w:gridCol w:w="7824"/>
      </w:tblGrid>
      <w:tr w:rsidR="002E207A" w:rsidRPr="00DB268D" w:rsidTr="00391D4F">
        <w:tc>
          <w:tcPr>
            <w:tcW w:w="854" w:type="pct"/>
            <w:shd w:val="clear" w:color="auto" w:fill="FFFFFF"/>
            <w:vAlign w:val="center"/>
          </w:tcPr>
          <w:p w:rsidR="002E207A" w:rsidRPr="00391D4F" w:rsidRDefault="002E207A" w:rsidP="00DB268D">
            <w:pPr>
              <w:pStyle w:val="NoSpacing"/>
              <w:contextualSpacing/>
              <w:rPr>
                <w:color w:val="000000"/>
              </w:rPr>
            </w:pPr>
            <w:r w:rsidRPr="00391D4F">
              <w:rPr>
                <w:color w:val="000000"/>
              </w:rPr>
              <w:t>ABDR</w:t>
            </w:r>
          </w:p>
        </w:tc>
        <w:tc>
          <w:tcPr>
            <w:tcW w:w="4146" w:type="pct"/>
            <w:shd w:val="clear" w:color="auto" w:fill="FFFFFF"/>
            <w:vAlign w:val="center"/>
          </w:tcPr>
          <w:p w:rsidR="002E207A" w:rsidRPr="00391D4F" w:rsidRDefault="002E207A" w:rsidP="00DB268D">
            <w:pPr>
              <w:pStyle w:val="NoSpacing"/>
              <w:contextualSpacing/>
              <w:rPr>
                <w:color w:val="000000"/>
              </w:rPr>
            </w:pPr>
            <w:r w:rsidRPr="00391D4F">
              <w:rPr>
                <w:color w:val="000000"/>
              </w:rPr>
              <w:t>Australian Bleeding Disorders Registry</w:t>
            </w:r>
          </w:p>
        </w:tc>
      </w:tr>
      <w:tr w:rsidR="002E207A" w:rsidRPr="00DB268D" w:rsidTr="00391D4F">
        <w:tc>
          <w:tcPr>
            <w:tcW w:w="854" w:type="pct"/>
            <w:shd w:val="clear" w:color="auto" w:fill="FFFFFF"/>
            <w:vAlign w:val="center"/>
          </w:tcPr>
          <w:p w:rsidR="002E207A" w:rsidRPr="00391D4F" w:rsidRDefault="002E207A" w:rsidP="00DB268D">
            <w:pPr>
              <w:pStyle w:val="NoSpacing"/>
              <w:contextualSpacing/>
              <w:rPr>
                <w:color w:val="000000"/>
              </w:rPr>
            </w:pPr>
            <w:r w:rsidRPr="00391D4F">
              <w:rPr>
                <w:color w:val="000000"/>
              </w:rPr>
              <w:t>ACHS</w:t>
            </w:r>
          </w:p>
        </w:tc>
        <w:tc>
          <w:tcPr>
            <w:tcW w:w="4146" w:type="pct"/>
            <w:shd w:val="clear" w:color="auto" w:fill="FFFFFF"/>
            <w:vAlign w:val="center"/>
          </w:tcPr>
          <w:p w:rsidR="002E207A" w:rsidRPr="00391D4F" w:rsidRDefault="002E207A" w:rsidP="00DB268D">
            <w:pPr>
              <w:pStyle w:val="NoSpacing"/>
              <w:contextualSpacing/>
              <w:rPr>
                <w:color w:val="000000"/>
              </w:rPr>
            </w:pPr>
            <w:r w:rsidRPr="00391D4F">
              <w:rPr>
                <w:color w:val="000000"/>
              </w:rPr>
              <w:t>Australian Council on Healthcare Standards</w:t>
            </w:r>
          </w:p>
        </w:tc>
      </w:tr>
      <w:tr w:rsidR="002E207A" w:rsidRPr="00DB268D" w:rsidTr="00391D4F">
        <w:tc>
          <w:tcPr>
            <w:tcW w:w="854" w:type="pct"/>
            <w:shd w:val="clear" w:color="auto" w:fill="FFFFFF"/>
            <w:vAlign w:val="center"/>
          </w:tcPr>
          <w:p w:rsidR="002E207A" w:rsidRPr="00391D4F" w:rsidRDefault="002E207A" w:rsidP="00DB268D">
            <w:pPr>
              <w:pStyle w:val="NoSpacing"/>
              <w:contextualSpacing/>
              <w:rPr>
                <w:color w:val="000000"/>
              </w:rPr>
            </w:pPr>
            <w:r w:rsidRPr="00391D4F">
              <w:rPr>
                <w:color w:val="000000"/>
              </w:rPr>
              <w:t>FOI</w:t>
            </w:r>
          </w:p>
        </w:tc>
        <w:tc>
          <w:tcPr>
            <w:tcW w:w="4146" w:type="pct"/>
            <w:shd w:val="clear" w:color="auto" w:fill="FFFFFF"/>
            <w:vAlign w:val="center"/>
          </w:tcPr>
          <w:p w:rsidR="002E207A" w:rsidRPr="00391D4F" w:rsidRDefault="002E207A" w:rsidP="00DB268D">
            <w:pPr>
              <w:pStyle w:val="NoSpacing"/>
              <w:contextualSpacing/>
              <w:rPr>
                <w:color w:val="000000"/>
              </w:rPr>
            </w:pPr>
            <w:r w:rsidRPr="00391D4F">
              <w:rPr>
                <w:color w:val="000000"/>
              </w:rPr>
              <w:t>Freedom of Information</w:t>
            </w:r>
          </w:p>
        </w:tc>
      </w:tr>
      <w:tr w:rsidR="002E207A" w:rsidRPr="00DB268D" w:rsidTr="00391D4F">
        <w:tc>
          <w:tcPr>
            <w:tcW w:w="854" w:type="pct"/>
            <w:shd w:val="clear" w:color="auto" w:fill="FFFFFF"/>
            <w:vAlign w:val="center"/>
          </w:tcPr>
          <w:p w:rsidR="002E207A" w:rsidRPr="00391D4F" w:rsidRDefault="002E207A" w:rsidP="00DB268D">
            <w:pPr>
              <w:pStyle w:val="NoSpacing"/>
              <w:contextualSpacing/>
              <w:rPr>
                <w:color w:val="000000"/>
              </w:rPr>
            </w:pPr>
            <w:r w:rsidRPr="00391D4F">
              <w:rPr>
                <w:color w:val="000000"/>
              </w:rPr>
              <w:t>IPS</w:t>
            </w:r>
          </w:p>
        </w:tc>
        <w:tc>
          <w:tcPr>
            <w:tcW w:w="4146" w:type="pct"/>
            <w:shd w:val="clear" w:color="auto" w:fill="FFFFFF"/>
            <w:vAlign w:val="center"/>
          </w:tcPr>
          <w:p w:rsidR="002E207A" w:rsidRDefault="002E207A" w:rsidP="00247D8B">
            <w:pPr>
              <w:pStyle w:val="NoSpacing"/>
              <w:contextualSpacing/>
            </w:pPr>
            <w:r w:rsidRPr="00391D4F">
              <w:rPr>
                <w:color w:val="000000"/>
              </w:rPr>
              <w:t>Information Publication Scheme</w:t>
            </w:r>
          </w:p>
        </w:tc>
      </w:tr>
      <w:tr w:rsidR="002E207A" w:rsidRPr="00DB268D" w:rsidTr="00391D4F">
        <w:tc>
          <w:tcPr>
            <w:tcW w:w="854" w:type="pct"/>
            <w:shd w:val="clear" w:color="auto" w:fill="FFFFFF"/>
            <w:vAlign w:val="center"/>
          </w:tcPr>
          <w:p w:rsidR="002E207A" w:rsidRPr="00391D4F" w:rsidRDefault="002E207A" w:rsidP="00DB268D">
            <w:pPr>
              <w:pStyle w:val="NoSpacing"/>
              <w:contextualSpacing/>
              <w:rPr>
                <w:color w:val="000000"/>
              </w:rPr>
            </w:pPr>
            <w:r w:rsidRPr="00391D4F">
              <w:rPr>
                <w:color w:val="000000"/>
              </w:rPr>
              <w:t>NBA</w:t>
            </w:r>
          </w:p>
        </w:tc>
        <w:tc>
          <w:tcPr>
            <w:tcW w:w="4146" w:type="pct"/>
            <w:shd w:val="clear" w:color="auto" w:fill="FFFFFF"/>
            <w:vAlign w:val="center"/>
          </w:tcPr>
          <w:p w:rsidR="002E207A" w:rsidRPr="00391D4F" w:rsidRDefault="002E207A" w:rsidP="00DB268D">
            <w:pPr>
              <w:pStyle w:val="NoSpacing"/>
              <w:contextualSpacing/>
              <w:rPr>
                <w:color w:val="000000"/>
              </w:rPr>
            </w:pPr>
            <w:r w:rsidRPr="00391D4F">
              <w:rPr>
                <w:color w:val="000000"/>
              </w:rPr>
              <w:t>National Blood Authority</w:t>
            </w:r>
          </w:p>
        </w:tc>
      </w:tr>
      <w:tr w:rsidR="002E207A" w:rsidRPr="00DB268D" w:rsidTr="00391D4F">
        <w:tc>
          <w:tcPr>
            <w:tcW w:w="854" w:type="pct"/>
            <w:shd w:val="clear" w:color="auto" w:fill="FFFFFF"/>
            <w:vAlign w:val="center"/>
          </w:tcPr>
          <w:p w:rsidR="002E207A" w:rsidRPr="00391D4F" w:rsidRDefault="002E207A" w:rsidP="00DB268D">
            <w:pPr>
              <w:pStyle w:val="NoSpacing"/>
              <w:contextualSpacing/>
              <w:rPr>
                <w:color w:val="000000"/>
              </w:rPr>
            </w:pPr>
            <w:r w:rsidRPr="00391D4F">
              <w:rPr>
                <w:color w:val="000000"/>
              </w:rPr>
              <w:t>NSP&amp;B</w:t>
            </w:r>
          </w:p>
        </w:tc>
        <w:tc>
          <w:tcPr>
            <w:tcW w:w="4146" w:type="pct"/>
            <w:shd w:val="clear" w:color="auto" w:fill="FFFFFF"/>
            <w:vAlign w:val="center"/>
          </w:tcPr>
          <w:p w:rsidR="002E207A" w:rsidRPr="00391D4F" w:rsidRDefault="002E207A" w:rsidP="00DB268D">
            <w:pPr>
              <w:pStyle w:val="NoSpacing"/>
              <w:contextualSpacing/>
              <w:rPr>
                <w:color w:val="000000"/>
              </w:rPr>
            </w:pPr>
            <w:r w:rsidRPr="00391D4F">
              <w:rPr>
                <w:color w:val="000000"/>
              </w:rPr>
              <w:t>National Supply Plan and Budget</w:t>
            </w:r>
          </w:p>
        </w:tc>
      </w:tr>
      <w:tr w:rsidR="002E207A" w:rsidRPr="00DB268D" w:rsidTr="00391D4F">
        <w:tc>
          <w:tcPr>
            <w:tcW w:w="854" w:type="pct"/>
            <w:shd w:val="clear" w:color="auto" w:fill="FFFFFF"/>
            <w:vAlign w:val="center"/>
          </w:tcPr>
          <w:p w:rsidR="002E207A" w:rsidRPr="00391D4F" w:rsidRDefault="002E207A" w:rsidP="00DB268D">
            <w:pPr>
              <w:pStyle w:val="NoSpacing"/>
              <w:contextualSpacing/>
              <w:rPr>
                <w:color w:val="000000"/>
              </w:rPr>
            </w:pPr>
            <w:r w:rsidRPr="00391D4F">
              <w:rPr>
                <w:color w:val="000000"/>
              </w:rPr>
              <w:t>NBSCP</w:t>
            </w:r>
          </w:p>
        </w:tc>
        <w:tc>
          <w:tcPr>
            <w:tcW w:w="4146" w:type="pct"/>
            <w:shd w:val="clear" w:color="auto" w:fill="FFFFFF"/>
            <w:vAlign w:val="center"/>
          </w:tcPr>
          <w:p w:rsidR="002E207A" w:rsidRPr="00391D4F" w:rsidRDefault="002E207A" w:rsidP="00DB268D">
            <w:pPr>
              <w:pStyle w:val="NoSpacing"/>
              <w:contextualSpacing/>
              <w:rPr>
                <w:color w:val="000000"/>
              </w:rPr>
            </w:pPr>
            <w:r w:rsidRPr="00391D4F">
              <w:rPr>
                <w:color w:val="000000"/>
              </w:rPr>
              <w:t>National Blood Supply Contingency Plan</w:t>
            </w:r>
          </w:p>
        </w:tc>
      </w:tr>
      <w:tr w:rsidR="002E207A" w:rsidRPr="00DB268D" w:rsidTr="00391D4F">
        <w:tc>
          <w:tcPr>
            <w:tcW w:w="854" w:type="pct"/>
            <w:shd w:val="clear" w:color="auto" w:fill="FFFFFF"/>
            <w:vAlign w:val="center"/>
          </w:tcPr>
          <w:p w:rsidR="002E207A" w:rsidRPr="00391D4F" w:rsidRDefault="002E207A" w:rsidP="00DB268D">
            <w:pPr>
              <w:pStyle w:val="NoSpacing"/>
              <w:contextualSpacing/>
              <w:rPr>
                <w:color w:val="000000"/>
              </w:rPr>
            </w:pPr>
            <w:r w:rsidRPr="00391D4F">
              <w:rPr>
                <w:color w:val="000000"/>
              </w:rPr>
              <w:t>NPAAC</w:t>
            </w:r>
          </w:p>
        </w:tc>
        <w:tc>
          <w:tcPr>
            <w:tcW w:w="4146" w:type="pct"/>
            <w:shd w:val="clear" w:color="auto" w:fill="FFFFFF"/>
            <w:vAlign w:val="center"/>
          </w:tcPr>
          <w:p w:rsidR="002E207A" w:rsidRPr="00391D4F" w:rsidRDefault="002E207A" w:rsidP="00391D4F">
            <w:pPr>
              <w:spacing w:after="0"/>
              <w:contextualSpacing/>
              <w:rPr>
                <w:color w:val="000000"/>
              </w:rPr>
            </w:pPr>
            <w:r w:rsidRPr="00391D4F">
              <w:rPr>
                <w:color w:val="000000"/>
              </w:rPr>
              <w:t>National Pathology Accreditation Advisory Council</w:t>
            </w:r>
          </w:p>
        </w:tc>
      </w:tr>
      <w:tr w:rsidR="002E207A" w:rsidRPr="00DB268D" w:rsidTr="00391D4F">
        <w:tc>
          <w:tcPr>
            <w:tcW w:w="854" w:type="pct"/>
            <w:shd w:val="clear" w:color="auto" w:fill="FFFFFF"/>
            <w:vAlign w:val="center"/>
          </w:tcPr>
          <w:p w:rsidR="002E207A" w:rsidRPr="00391D4F" w:rsidRDefault="002E207A" w:rsidP="00DB268D">
            <w:pPr>
              <w:pStyle w:val="NoSpacing"/>
              <w:contextualSpacing/>
              <w:rPr>
                <w:color w:val="000000"/>
              </w:rPr>
            </w:pPr>
            <w:r w:rsidRPr="00391D4F">
              <w:rPr>
                <w:color w:val="000000"/>
              </w:rPr>
              <w:t>NSQHS</w:t>
            </w:r>
          </w:p>
        </w:tc>
        <w:tc>
          <w:tcPr>
            <w:tcW w:w="4146" w:type="pct"/>
            <w:shd w:val="clear" w:color="auto" w:fill="FFFFFF"/>
            <w:vAlign w:val="center"/>
          </w:tcPr>
          <w:p w:rsidR="002E207A" w:rsidRPr="00391D4F" w:rsidRDefault="002E207A" w:rsidP="009072E2">
            <w:pPr>
              <w:pStyle w:val="NoSpacing"/>
              <w:contextualSpacing/>
              <w:rPr>
                <w:color w:val="000000"/>
              </w:rPr>
            </w:pPr>
            <w:r w:rsidRPr="00391D4F">
              <w:rPr>
                <w:color w:val="000000"/>
              </w:rPr>
              <w:t>National Safety and Quality Health Service</w:t>
            </w:r>
          </w:p>
        </w:tc>
      </w:tr>
      <w:tr w:rsidR="002E207A" w:rsidRPr="00DB268D" w:rsidTr="00391D4F">
        <w:tc>
          <w:tcPr>
            <w:tcW w:w="854" w:type="pct"/>
            <w:shd w:val="clear" w:color="auto" w:fill="FFFFFF"/>
            <w:vAlign w:val="center"/>
          </w:tcPr>
          <w:p w:rsidR="002E207A" w:rsidRPr="00391D4F" w:rsidRDefault="002E207A" w:rsidP="00DB268D">
            <w:pPr>
              <w:pStyle w:val="NoSpacing"/>
              <w:contextualSpacing/>
              <w:rPr>
                <w:color w:val="000000"/>
              </w:rPr>
            </w:pPr>
            <w:r w:rsidRPr="00391D4F">
              <w:rPr>
                <w:color w:val="000000"/>
              </w:rPr>
              <w:t>PBM</w:t>
            </w:r>
          </w:p>
        </w:tc>
        <w:tc>
          <w:tcPr>
            <w:tcW w:w="4146" w:type="pct"/>
            <w:shd w:val="clear" w:color="auto" w:fill="FFFFFF"/>
            <w:vAlign w:val="center"/>
          </w:tcPr>
          <w:p w:rsidR="002E207A" w:rsidRPr="00391D4F" w:rsidRDefault="002E207A" w:rsidP="00DB268D">
            <w:pPr>
              <w:pStyle w:val="NoSpacing"/>
              <w:contextualSpacing/>
              <w:rPr>
                <w:color w:val="000000"/>
              </w:rPr>
            </w:pPr>
            <w:r w:rsidRPr="00391D4F">
              <w:rPr>
                <w:color w:val="000000"/>
              </w:rPr>
              <w:t>Patient Blood Management</w:t>
            </w:r>
          </w:p>
        </w:tc>
      </w:tr>
      <w:tr w:rsidR="002E207A" w:rsidRPr="00DB268D" w:rsidTr="00391D4F">
        <w:tc>
          <w:tcPr>
            <w:tcW w:w="854" w:type="pct"/>
            <w:shd w:val="clear" w:color="auto" w:fill="FFFFFF"/>
            <w:vAlign w:val="center"/>
          </w:tcPr>
          <w:p w:rsidR="002E207A" w:rsidRPr="00391D4F" w:rsidRDefault="002E207A" w:rsidP="00DB268D">
            <w:pPr>
              <w:pStyle w:val="NoSpacing"/>
              <w:contextualSpacing/>
              <w:rPr>
                <w:color w:val="000000"/>
              </w:rPr>
            </w:pPr>
            <w:r w:rsidRPr="00391D4F">
              <w:rPr>
                <w:color w:val="000000"/>
              </w:rPr>
              <w:t>QA</w:t>
            </w:r>
          </w:p>
        </w:tc>
        <w:tc>
          <w:tcPr>
            <w:tcW w:w="4146" w:type="pct"/>
            <w:shd w:val="clear" w:color="auto" w:fill="FFFFFF"/>
            <w:vAlign w:val="center"/>
          </w:tcPr>
          <w:p w:rsidR="002E207A" w:rsidRPr="00391D4F" w:rsidRDefault="002E207A" w:rsidP="00DB268D">
            <w:pPr>
              <w:pStyle w:val="NoSpacing"/>
              <w:contextualSpacing/>
              <w:rPr>
                <w:color w:val="000000"/>
              </w:rPr>
            </w:pPr>
            <w:r w:rsidRPr="00391D4F">
              <w:rPr>
                <w:color w:val="000000"/>
              </w:rPr>
              <w:t>Quality Assurance</w:t>
            </w:r>
          </w:p>
        </w:tc>
      </w:tr>
      <w:tr w:rsidR="002E207A" w:rsidRPr="00DB268D" w:rsidTr="00391D4F">
        <w:tc>
          <w:tcPr>
            <w:tcW w:w="854" w:type="pct"/>
            <w:shd w:val="clear" w:color="auto" w:fill="FFFFFF"/>
            <w:vAlign w:val="center"/>
          </w:tcPr>
          <w:p w:rsidR="002E207A" w:rsidRPr="00391D4F" w:rsidRDefault="002E207A" w:rsidP="00DB268D">
            <w:pPr>
              <w:pStyle w:val="NoSpacing"/>
              <w:contextualSpacing/>
              <w:rPr>
                <w:color w:val="000000"/>
              </w:rPr>
            </w:pPr>
            <w:r w:rsidRPr="00391D4F">
              <w:rPr>
                <w:color w:val="000000"/>
              </w:rPr>
              <w:t>TGA</w:t>
            </w:r>
          </w:p>
        </w:tc>
        <w:tc>
          <w:tcPr>
            <w:tcW w:w="4146" w:type="pct"/>
            <w:shd w:val="clear" w:color="auto" w:fill="FFFFFF"/>
            <w:vAlign w:val="center"/>
          </w:tcPr>
          <w:p w:rsidR="002E207A" w:rsidRPr="00391D4F" w:rsidRDefault="002E207A" w:rsidP="00DB268D">
            <w:pPr>
              <w:pStyle w:val="NoSpacing"/>
              <w:contextualSpacing/>
              <w:rPr>
                <w:color w:val="000000"/>
              </w:rPr>
            </w:pPr>
            <w:r w:rsidRPr="00391D4F">
              <w:rPr>
                <w:color w:val="000000"/>
              </w:rPr>
              <w:t>Therapeutic Goods Administration</w:t>
            </w:r>
          </w:p>
        </w:tc>
      </w:tr>
    </w:tbl>
    <w:p w:rsidR="002E207A" w:rsidRDefault="002E207A" w:rsidP="00DB268D"/>
    <w:p w:rsidR="002E207A" w:rsidRDefault="002E207A" w:rsidP="00DB268D">
      <w:pPr>
        <w:pStyle w:val="Heading2"/>
      </w:pPr>
      <w:bookmarkStart w:id="26" w:name="_Toc343432044"/>
      <w:r>
        <w:t>Glossary of terms</w:t>
      </w:r>
      <w:bookmarkEnd w:id="26"/>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57" w:type="dxa"/>
          <w:bottom w:w="57" w:type="dxa"/>
        </w:tblCellMar>
        <w:tblLook w:val="0080" w:firstRow="0" w:lastRow="0" w:firstColumn="1" w:lastColumn="0" w:noHBand="0" w:noVBand="0"/>
      </w:tblPr>
      <w:tblGrid>
        <w:gridCol w:w="2040"/>
        <w:gridCol w:w="7395"/>
      </w:tblGrid>
      <w:tr w:rsidR="002E207A" w:rsidRPr="00DB268D" w:rsidTr="00391D4F">
        <w:tc>
          <w:tcPr>
            <w:tcW w:w="1081" w:type="pct"/>
            <w:shd w:val="clear" w:color="auto" w:fill="FFFFFF"/>
            <w:vAlign w:val="center"/>
          </w:tcPr>
          <w:p w:rsidR="002E207A" w:rsidRPr="00391D4F" w:rsidRDefault="002E207A" w:rsidP="00DB268D">
            <w:pPr>
              <w:pStyle w:val="NoSpacing"/>
              <w:contextualSpacing/>
              <w:rPr>
                <w:color w:val="000000"/>
              </w:rPr>
            </w:pPr>
            <w:r w:rsidRPr="00391D4F">
              <w:rPr>
                <w:color w:val="000000"/>
              </w:rPr>
              <w:t>bleeding disorders</w:t>
            </w:r>
          </w:p>
        </w:tc>
        <w:tc>
          <w:tcPr>
            <w:tcW w:w="3919" w:type="pct"/>
            <w:shd w:val="clear" w:color="auto" w:fill="FFFFFF"/>
            <w:vAlign w:val="center"/>
          </w:tcPr>
          <w:p w:rsidR="002E207A" w:rsidRPr="00391D4F" w:rsidRDefault="002E207A" w:rsidP="00DB268D">
            <w:pPr>
              <w:pStyle w:val="NoSpacing"/>
              <w:contextualSpacing/>
              <w:rPr>
                <w:color w:val="000000"/>
              </w:rPr>
            </w:pPr>
            <w:r w:rsidRPr="00391D4F">
              <w:rPr>
                <w:color w:val="000000"/>
              </w:rPr>
              <w:t>Diseases that cause abnormal or exaggerated bleeding and poor blood clotting</w:t>
            </w:r>
          </w:p>
        </w:tc>
      </w:tr>
      <w:tr w:rsidR="002E207A" w:rsidRPr="00DB268D" w:rsidTr="00391D4F">
        <w:tc>
          <w:tcPr>
            <w:tcW w:w="1081" w:type="pct"/>
            <w:shd w:val="clear" w:color="auto" w:fill="FFFFFF"/>
            <w:vAlign w:val="center"/>
          </w:tcPr>
          <w:p w:rsidR="002E207A" w:rsidRPr="00391D4F" w:rsidRDefault="002E207A" w:rsidP="00DB268D">
            <w:pPr>
              <w:pStyle w:val="NoSpacing"/>
              <w:contextualSpacing/>
              <w:rPr>
                <w:color w:val="000000"/>
              </w:rPr>
            </w:pPr>
            <w:r w:rsidRPr="00391D4F">
              <w:rPr>
                <w:color w:val="000000"/>
              </w:rPr>
              <w:t>blood products</w:t>
            </w:r>
          </w:p>
        </w:tc>
        <w:tc>
          <w:tcPr>
            <w:tcW w:w="3919" w:type="pct"/>
            <w:shd w:val="clear" w:color="auto" w:fill="FFFFFF"/>
            <w:vAlign w:val="center"/>
          </w:tcPr>
          <w:p w:rsidR="002E207A" w:rsidRPr="00391D4F" w:rsidRDefault="002E207A" w:rsidP="00FE2421">
            <w:pPr>
              <w:pStyle w:val="NoSpacing"/>
              <w:contextualSpacing/>
              <w:rPr>
                <w:color w:val="000000"/>
              </w:rPr>
            </w:pPr>
            <w:r w:rsidRPr="00391D4F">
              <w:rPr>
                <w:color w:val="000000"/>
              </w:rPr>
              <w:t>Products available under the National Blood Agreement</w:t>
            </w:r>
          </w:p>
        </w:tc>
      </w:tr>
      <w:tr w:rsidR="002E207A" w:rsidRPr="00DB268D" w:rsidTr="00391D4F">
        <w:tc>
          <w:tcPr>
            <w:tcW w:w="1081" w:type="pct"/>
            <w:shd w:val="clear" w:color="auto" w:fill="FFFFFF"/>
            <w:vAlign w:val="center"/>
          </w:tcPr>
          <w:p w:rsidR="002E207A" w:rsidRPr="00391D4F" w:rsidRDefault="002E207A" w:rsidP="00DB268D">
            <w:pPr>
              <w:pStyle w:val="NoSpacing"/>
              <w:contextualSpacing/>
              <w:rPr>
                <w:color w:val="000000"/>
              </w:rPr>
            </w:pPr>
            <w:r w:rsidRPr="00391D4F">
              <w:rPr>
                <w:color w:val="000000"/>
              </w:rPr>
              <w:t>fractionation</w:t>
            </w:r>
          </w:p>
        </w:tc>
        <w:tc>
          <w:tcPr>
            <w:tcW w:w="3919" w:type="pct"/>
            <w:shd w:val="clear" w:color="auto" w:fill="FFFFFF"/>
            <w:vAlign w:val="center"/>
          </w:tcPr>
          <w:p w:rsidR="002E207A" w:rsidRPr="00391D4F" w:rsidRDefault="002E207A" w:rsidP="00DB268D">
            <w:pPr>
              <w:pStyle w:val="NoSpacing"/>
              <w:contextualSpacing/>
              <w:rPr>
                <w:color w:val="000000"/>
              </w:rPr>
            </w:pPr>
            <w:r w:rsidRPr="00391D4F">
              <w:rPr>
                <w:color w:val="000000"/>
              </w:rPr>
              <w:t xml:space="preserve">Blood plasma fractionation refers to the general processes of separating the various components of blood plasma.   </w:t>
            </w:r>
          </w:p>
        </w:tc>
      </w:tr>
    </w:tbl>
    <w:p w:rsidR="002E207A" w:rsidRDefault="002E207A" w:rsidP="00DB268D">
      <w:pPr>
        <w:pStyle w:val="Heading2"/>
        <w:sectPr w:rsidR="002E207A" w:rsidSect="00AE0E24">
          <w:footerReference w:type="default" r:id="rId19"/>
          <w:headerReference w:type="first" r:id="rId20"/>
          <w:pgSz w:w="11907" w:h="16839" w:code="9"/>
          <w:pgMar w:top="1276" w:right="1608" w:bottom="1080" w:left="1080" w:header="720" w:footer="720" w:gutter="0"/>
          <w:cols w:space="720"/>
          <w:rtlGutter/>
          <w:docGrid w:linePitch="360"/>
        </w:sectPr>
      </w:pPr>
    </w:p>
    <w:p w:rsidR="002E207A" w:rsidRPr="00C720AA" w:rsidRDefault="002E207A" w:rsidP="001570D5">
      <w:bookmarkStart w:id="27" w:name="_GoBack"/>
      <w:bookmarkEnd w:id="27"/>
    </w:p>
    <w:sectPr w:rsidR="002E207A" w:rsidRPr="00C720AA" w:rsidSect="00706CFE">
      <w:headerReference w:type="first" r:id="rId21"/>
      <w:footerReference w:type="first" r:id="rId22"/>
      <w:pgSz w:w="11907" w:h="16839" w:code="9"/>
      <w:pgMar w:top="1276" w:right="1608" w:bottom="1080" w:left="108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318" w:rsidRDefault="00E56318" w:rsidP="009960EE">
      <w:r>
        <w:separator/>
      </w:r>
    </w:p>
  </w:endnote>
  <w:endnote w:type="continuationSeparator" w:id="0">
    <w:p w:rsidR="00E56318" w:rsidRDefault="00E56318" w:rsidP="00996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HYGothic-Extra">
    <w:panose1 w:val="00000000000000000000"/>
    <w:charset w:val="81"/>
    <w:family w:val="roman"/>
    <w:notTrueType/>
    <w:pitch w:val="default"/>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9D7" w:rsidRDefault="007649D7" w:rsidP="00017DEA">
    <w:pPr>
      <w:pStyle w:val="Footer"/>
    </w:pPr>
    <w:r>
      <w:rPr>
        <w:noProof/>
        <w:lang w:eastAsia="en-AU"/>
      </w:rPr>
      <mc:AlternateContent>
        <mc:Choice Requires="wps">
          <w:drawing>
            <wp:anchor distT="0" distB="0" distL="114300" distR="114300" simplePos="0" relativeHeight="251660288" behindDoc="0" locked="1" layoutInCell="1" allowOverlap="1" wp14:anchorId="3742D323" wp14:editId="19AAC10E">
              <wp:simplePos x="0" y="0"/>
              <wp:positionH relativeFrom="page">
                <wp:posOffset>6871970</wp:posOffset>
              </wp:positionH>
              <wp:positionV relativeFrom="page">
                <wp:posOffset>9857740</wp:posOffset>
              </wp:positionV>
              <wp:extent cx="518160" cy="405130"/>
              <wp:effectExtent l="0" t="0" r="0" b="0"/>
              <wp:wrapNone/>
              <wp:docPr id="8" name="Text Box 6" descr="page numb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9D7" w:rsidRPr="00F722A4" w:rsidRDefault="007649D7" w:rsidP="00017DEA">
                          <w:pPr>
                            <w:pStyle w:val="Subtitle"/>
                            <w:rPr>
                              <w:color w:val="005374"/>
                              <w:sz w:val="28"/>
                              <w:szCs w:val="28"/>
                            </w:rPr>
                          </w:pPr>
                          <w:r w:rsidRPr="00F722A4">
                            <w:rPr>
                              <w:color w:val="005374"/>
                              <w:sz w:val="28"/>
                              <w:szCs w:val="28"/>
                            </w:rPr>
                            <w:fldChar w:fldCharType="begin"/>
                          </w:r>
                          <w:r w:rsidRPr="00F722A4">
                            <w:rPr>
                              <w:color w:val="005374"/>
                              <w:sz w:val="28"/>
                              <w:szCs w:val="28"/>
                            </w:rPr>
                            <w:instrText xml:space="preserve"> PAGE  \* Arabic  \* MERGEFORMAT </w:instrText>
                          </w:r>
                          <w:r w:rsidRPr="00F722A4">
                            <w:rPr>
                              <w:color w:val="005374"/>
                              <w:sz w:val="28"/>
                              <w:szCs w:val="28"/>
                            </w:rPr>
                            <w:fldChar w:fldCharType="separate"/>
                          </w:r>
                          <w:r w:rsidR="00C82CE1">
                            <w:rPr>
                              <w:noProof/>
                              <w:color w:val="005374"/>
                              <w:sz w:val="28"/>
                              <w:szCs w:val="28"/>
                            </w:rPr>
                            <w:t>9</w:t>
                          </w:r>
                          <w:r w:rsidRPr="00F722A4">
                            <w:rPr>
                              <w:color w:val="005374"/>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2" type="#_x0000_t202" alt="page number" style="position:absolute;margin-left:541.1pt;margin-top:776.2pt;width:40.8pt;height:31.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" filled="f" stroked="f">
              <v:textbox>
                <w:txbxContent>
                  <w:p w:rsidR="007649D7" w:rsidRPr="00F722A4" w:rsidRDefault="007649D7" w:rsidP="00017DEA">
                    <w:pPr>
                      <w:pStyle w:val="Subtitle"/>
                      <w:rPr>
                        <w:color w:val="005374"/>
                        <w:sz w:val="28"/>
                        <w:szCs w:val="28"/>
                      </w:rPr>
                    </w:pPr>
                    <w:r w:rsidRPr="00F722A4">
                      <w:rPr>
                        <w:color w:val="005374"/>
                        <w:sz w:val="28"/>
                        <w:szCs w:val="28"/>
                      </w:rPr>
                      <w:fldChar w:fldCharType="begin"/>
                    </w:r>
                    <w:r w:rsidRPr="00F722A4">
                      <w:rPr>
                        <w:color w:val="005374"/>
                        <w:sz w:val="28"/>
                        <w:szCs w:val="28"/>
                      </w:rPr>
                      <w:instrText xml:space="preserve"> PAGE  \* Arabic  \* MERGEFORMAT </w:instrText>
                    </w:r>
                    <w:r w:rsidRPr="00F722A4">
                      <w:rPr>
                        <w:color w:val="005374"/>
                        <w:sz w:val="28"/>
                        <w:szCs w:val="28"/>
                      </w:rPr>
                      <w:fldChar w:fldCharType="separate"/>
                    </w:r>
                    <w:r w:rsidR="00C82CE1">
                      <w:rPr>
                        <w:noProof/>
                        <w:color w:val="005374"/>
                        <w:sz w:val="28"/>
                        <w:szCs w:val="28"/>
                      </w:rPr>
                      <w:t>9</w:t>
                    </w:r>
                    <w:r w:rsidRPr="00F722A4">
                      <w:rPr>
                        <w:color w:val="005374"/>
                        <w:sz w:val="28"/>
                        <w:szCs w:val="28"/>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59264" behindDoc="0" locked="1" layoutInCell="1" allowOverlap="1" wp14:anchorId="46BCF9AC" wp14:editId="5AC30F2E">
              <wp:simplePos x="0" y="0"/>
              <wp:positionH relativeFrom="page">
                <wp:posOffset>6777355</wp:posOffset>
              </wp:positionH>
              <wp:positionV relativeFrom="page">
                <wp:posOffset>7736205</wp:posOffset>
              </wp:positionV>
              <wp:extent cx="129540" cy="2519680"/>
              <wp:effectExtent l="19050" t="19050" r="22860" b="13970"/>
              <wp:wrapNone/>
              <wp:docPr id="10" name="Rectangle 9"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2519680"/>
                      </a:xfrm>
                      <a:prstGeom prst="rect">
                        <a:avLst/>
                      </a:prstGeom>
                      <a:solidFill>
                        <a:srgbClr val="005374"/>
                      </a:solidFill>
                      <a:ln w="31750">
                        <a:solidFill>
                          <a:srgbClr val="00537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alt="&quot;&quot;" style="position:absolute;margin-left:533.65pt;margin-top:609.15pt;width:10.2pt;height:198.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" fillcolor="#005374" strokecolor="#005374" strokeweight="2.5pt">
              <v:shadow color="#868686"/>
              <w10:wrap anchorx="page" anchory="page"/>
              <w10:anchorlock/>
            </v:rect>
          </w:pict>
        </mc:Fallback>
      </mc:AlternateContent>
    </w:r>
    <w:r>
      <w:rPr>
        <w:noProof/>
        <w:lang w:eastAsia="en-AU"/>
      </w:rPr>
      <w:drawing>
        <wp:inline distT="0" distB="0" distL="0" distR="0" wp14:anchorId="082A2D6F" wp14:editId="551DA702">
          <wp:extent cx="1952452" cy="364789"/>
          <wp:effectExtent l="0" t="0" r="0" b="0"/>
          <wp:docPr id="21" name="Picture 1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52452" cy="364789"/>
                  </a:xfrm>
                  <a:prstGeom prst="rect">
                    <a:avLst/>
                  </a:prstGeom>
                  <a:noFill/>
                  <a:ln>
                    <a:noFill/>
                  </a:ln>
                </pic:spPr>
              </pic:pic>
            </a:graphicData>
          </a:graphic>
        </wp:inline>
      </w:drawing>
    </w:r>
  </w:p>
  <w:p w:rsidR="007649D7" w:rsidRPr="00F920BC" w:rsidRDefault="007649D7" w:rsidP="00017DE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9D7" w:rsidRDefault="007649D7">
    <w:pPr>
      <w:pStyle w:val="Footer"/>
    </w:pPr>
    <w:r>
      <w:rPr>
        <w:noProof/>
        <w:lang w:eastAsia="en-AU"/>
      </w:rPr>
      <w:drawing>
        <wp:anchor distT="0" distB="0" distL="114300" distR="114300" simplePos="0" relativeHeight="251658240" behindDoc="1" locked="0" layoutInCell="1" allowOverlap="1" wp14:anchorId="6D9CCD98" wp14:editId="33882034">
          <wp:simplePos x="0" y="0"/>
          <wp:positionH relativeFrom="column">
            <wp:posOffset>-982980</wp:posOffset>
          </wp:positionH>
          <wp:positionV relativeFrom="paragraph">
            <wp:posOffset>-4678045</wp:posOffset>
          </wp:positionV>
          <wp:extent cx="7869555" cy="5090160"/>
          <wp:effectExtent l="0" t="0" r="0" b="0"/>
          <wp:wrapNone/>
          <wp:docPr id="23" name="Picture 18"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
                    <a:extLst>
                      <a:ext uri="{28A0092B-C50C-407E-A947-70E740481C1C}">
                        <a14:useLocalDpi xmlns:a14="http://schemas.microsoft.com/office/drawing/2010/main" val="0"/>
                      </a:ext>
                    </a:extLst>
                  </a:blip>
                  <a:srcRect l="-3820" t="52490" r="1"/>
                  <a:stretch/>
                </pic:blipFill>
                <pic:spPr bwMode="auto">
                  <a:xfrm>
                    <a:off x="0" y="0"/>
                    <a:ext cx="7869555" cy="5090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9D7" w:rsidRDefault="007649D7" w:rsidP="009960EE">
    <w:pPr>
      <w:pStyle w:val="Footer"/>
    </w:pPr>
    <w:r>
      <w:rPr>
        <w:noProof/>
        <w:lang w:eastAsia="en-AU"/>
      </w:rPr>
      <mc:AlternateContent>
        <mc:Choice Requires="wps">
          <w:drawing>
            <wp:anchor distT="0" distB="0" distL="114300" distR="114300" simplePos="0" relativeHeight="251655168" behindDoc="0" locked="1" layoutInCell="1" allowOverlap="1">
              <wp:simplePos x="0" y="0"/>
              <wp:positionH relativeFrom="page">
                <wp:posOffset>6931025</wp:posOffset>
              </wp:positionH>
              <wp:positionV relativeFrom="page">
                <wp:posOffset>10021570</wp:posOffset>
              </wp:positionV>
              <wp:extent cx="518160" cy="396240"/>
              <wp:effectExtent l="0" t="0" r="0" b="3810"/>
              <wp:wrapNone/>
              <wp:docPr id="2" name="Text Box 6" descr="page numb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9D7" w:rsidRPr="00F722A4" w:rsidRDefault="007649D7" w:rsidP="009960EE">
                          <w:pPr>
                            <w:pStyle w:val="Subtitle"/>
                            <w:rPr>
                              <w:color w:val="005374"/>
                              <w:sz w:val="28"/>
                              <w:szCs w:val="28"/>
                            </w:rPr>
                          </w:pPr>
                          <w:r w:rsidRPr="00F722A4">
                            <w:rPr>
                              <w:color w:val="005374"/>
                              <w:sz w:val="28"/>
                              <w:szCs w:val="28"/>
                            </w:rPr>
                            <w:fldChar w:fldCharType="begin"/>
                          </w:r>
                          <w:r w:rsidRPr="00F722A4">
                            <w:rPr>
                              <w:color w:val="005374"/>
                              <w:sz w:val="28"/>
                              <w:szCs w:val="28"/>
                            </w:rPr>
                            <w:instrText xml:space="preserve"> PAGE  \* Arabic  \* MERGEFORMAT </w:instrText>
                          </w:r>
                          <w:r w:rsidRPr="00F722A4">
                            <w:rPr>
                              <w:color w:val="005374"/>
                              <w:sz w:val="28"/>
                              <w:szCs w:val="28"/>
                            </w:rPr>
                            <w:fldChar w:fldCharType="separate"/>
                          </w:r>
                          <w:r w:rsidR="00C82CE1">
                            <w:rPr>
                              <w:noProof/>
                              <w:color w:val="005374"/>
                              <w:sz w:val="28"/>
                              <w:szCs w:val="28"/>
                            </w:rPr>
                            <w:t>18</w:t>
                          </w:r>
                          <w:r w:rsidRPr="00F722A4">
                            <w:rPr>
                              <w:color w:val="005374"/>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alt="page number" style="position:absolute;margin-left:545.75pt;margin-top:789.1pt;width:40.8pt;height:31.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" filled="f" stroked="f">
              <v:textbox>
                <w:txbxContent>
                  <w:p w:rsidR="007649D7" w:rsidRPr="00F722A4" w:rsidRDefault="007649D7" w:rsidP="009960EE">
                    <w:pPr>
                      <w:pStyle w:val="Subtitle"/>
                      <w:rPr>
                        <w:color w:val="005374"/>
                        <w:sz w:val="28"/>
                        <w:szCs w:val="28"/>
                      </w:rPr>
                    </w:pPr>
                    <w:r w:rsidRPr="00F722A4">
                      <w:rPr>
                        <w:color w:val="005374"/>
                        <w:sz w:val="28"/>
                        <w:szCs w:val="28"/>
                      </w:rPr>
                      <w:fldChar w:fldCharType="begin"/>
                    </w:r>
                    <w:r w:rsidRPr="00F722A4">
                      <w:rPr>
                        <w:color w:val="005374"/>
                        <w:sz w:val="28"/>
                        <w:szCs w:val="28"/>
                      </w:rPr>
                      <w:instrText xml:space="preserve"> PAGE  \* Arabic  \* MERGEFORMAT </w:instrText>
                    </w:r>
                    <w:r w:rsidRPr="00F722A4">
                      <w:rPr>
                        <w:color w:val="005374"/>
                        <w:sz w:val="28"/>
                        <w:szCs w:val="28"/>
                      </w:rPr>
                      <w:fldChar w:fldCharType="separate"/>
                    </w:r>
                    <w:r w:rsidR="00C82CE1">
                      <w:rPr>
                        <w:noProof/>
                        <w:color w:val="005374"/>
                        <w:sz w:val="28"/>
                        <w:szCs w:val="28"/>
                      </w:rPr>
                      <w:t>18</w:t>
                    </w:r>
                    <w:r w:rsidRPr="00F722A4">
                      <w:rPr>
                        <w:color w:val="005374"/>
                        <w:sz w:val="28"/>
                        <w:szCs w:val="28"/>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54144" behindDoc="0" locked="1" layoutInCell="1" allowOverlap="1">
              <wp:simplePos x="0" y="0"/>
              <wp:positionH relativeFrom="page">
                <wp:posOffset>6842125</wp:posOffset>
              </wp:positionH>
              <wp:positionV relativeFrom="page">
                <wp:posOffset>7934325</wp:posOffset>
              </wp:positionV>
              <wp:extent cx="129540" cy="2520315"/>
              <wp:effectExtent l="19050" t="19050" r="22860" b="13335"/>
              <wp:wrapNone/>
              <wp:docPr id="1" name="Rectangle 9"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2520315"/>
                      </a:xfrm>
                      <a:prstGeom prst="rect">
                        <a:avLst/>
                      </a:prstGeom>
                      <a:solidFill>
                        <a:srgbClr val="005374"/>
                      </a:solidFill>
                      <a:ln w="31750">
                        <a:solidFill>
                          <a:srgbClr val="00537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alt="&quot;&quot;" style="position:absolute;margin-left:538.75pt;margin-top:624.75pt;width:10.2pt;height:198.4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" fillcolor="#005374" strokecolor="#005374" strokeweight="2.5pt">
              <v:shadow color="#868686"/>
              <w10:wrap anchorx="page" anchory="page"/>
              <w10:anchorlock/>
            </v:rect>
          </w:pict>
        </mc:Fallback>
      </mc:AlternateContent>
    </w:r>
    <w:r>
      <w:rPr>
        <w:noProof/>
        <w:lang w:eastAsia="en-AU"/>
      </w:rPr>
      <w:drawing>
        <wp:inline distT="0" distB="0" distL="0" distR="0">
          <wp:extent cx="1951200" cy="364555"/>
          <wp:effectExtent l="0" t="0" r="0" b="0"/>
          <wp:docPr id="4" name="Picture 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51200" cy="364555"/>
                  </a:xfrm>
                  <a:prstGeom prst="rect">
                    <a:avLst/>
                  </a:prstGeom>
                  <a:noFill/>
                  <a:ln>
                    <a:noFill/>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9D7" w:rsidRDefault="007649D7" w:rsidP="009D3703">
    <w:pPr>
      <w:pStyle w:val="Footer"/>
      <w:tabs>
        <w:tab w:val="clear" w:pos="4680"/>
        <w:tab w:val="clear" w:pos="9360"/>
      </w:tabs>
      <w:jc w:val="center"/>
    </w:pPr>
    <w:r>
      <w:rPr>
        <w:noProof/>
        <w:lang w:eastAsia="en-AU"/>
      </w:rPr>
      <w:drawing>
        <wp:inline distT="0" distB="0" distL="0" distR="0">
          <wp:extent cx="2133600" cy="398634"/>
          <wp:effectExtent l="0" t="0" r="0" b="1905"/>
          <wp:docPr id="5" name="Picture 673" descr="National Blood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398634"/>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318" w:rsidRDefault="00E56318" w:rsidP="009960EE">
      <w:r>
        <w:separator/>
      </w:r>
    </w:p>
  </w:footnote>
  <w:footnote w:type="continuationSeparator" w:id="0">
    <w:p w:rsidR="00E56318" w:rsidRDefault="00E56318" w:rsidP="009960EE">
      <w:r>
        <w:continuationSeparator/>
      </w:r>
    </w:p>
  </w:footnote>
  <w:footnote w:id="1">
    <w:p w:rsidR="007649D7" w:rsidRDefault="007649D7" w:rsidP="00A04E07">
      <w:pPr>
        <w:pStyle w:val="FootnoteText"/>
      </w:pPr>
      <w:r w:rsidRPr="00907D4F">
        <w:rPr>
          <w:rStyle w:val="FootnoteReference"/>
          <w:color w:val="4F81BD"/>
        </w:rPr>
        <w:footnoteRef/>
      </w:r>
      <w:r w:rsidRPr="00907D4F">
        <w:rPr>
          <w:color w:val="4F81BD"/>
        </w:rPr>
        <w:t xml:space="preserve"> </w:t>
      </w:r>
      <w:hyperlink r:id="rId1" w:history="1">
        <w:r w:rsidRPr="00907D4F">
          <w:rPr>
            <w:rStyle w:val="Hyperlink"/>
            <w:color w:val="4F81BD"/>
          </w:rPr>
          <w:t>http://meteor.aihw.gov.au/content/index.phtml/itemId/392569</w:t>
        </w:r>
      </w:hyperlink>
      <w:r w:rsidRPr="00907D4F">
        <w:rPr>
          <w:color w:val="4F81BD"/>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9D7" w:rsidRDefault="007649D7">
    <w:pPr>
      <w:pStyle w:val="Header"/>
    </w:pPr>
    <w:r>
      <w:rPr>
        <w:noProof/>
        <w:lang w:eastAsia="en-AU"/>
      </w:rPr>
      <w:drawing>
        <wp:anchor distT="0" distB="0" distL="114300" distR="114300" simplePos="0" relativeHeight="251657216" behindDoc="1" locked="0" layoutInCell="1" allowOverlap="1">
          <wp:simplePos x="0" y="0"/>
          <wp:positionH relativeFrom="column">
            <wp:posOffset>-685800</wp:posOffset>
          </wp:positionH>
          <wp:positionV relativeFrom="paragraph">
            <wp:posOffset>4933950</wp:posOffset>
          </wp:positionV>
          <wp:extent cx="7560310" cy="5293995"/>
          <wp:effectExtent l="0" t="0" r="2540" b="1905"/>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clrChange>
                      <a:clrFrom>
                        <a:srgbClr val="FFFDFC"/>
                      </a:clrFrom>
                      <a:clrTo>
                        <a:srgbClr val="FFFDFC">
                          <a:alpha val="0"/>
                        </a:srgbClr>
                      </a:clrTo>
                    </a:clrChange>
                    <a:extLst>
                      <a:ext uri="{28A0092B-C50C-407E-A947-70E740481C1C}">
                        <a14:useLocalDpi xmlns:a14="http://schemas.microsoft.com/office/drawing/2010/main" val="0"/>
                      </a:ext>
                    </a:extLst>
                  </a:blip>
                  <a:srcRect t="50500"/>
                  <a:stretch>
                    <a:fillRect/>
                  </a:stretch>
                </pic:blipFill>
                <pic:spPr bwMode="auto">
                  <a:xfrm>
                    <a:off x="0" y="0"/>
                    <a:ext cx="7560310" cy="52939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9D7" w:rsidRDefault="007649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1C1"/>
    <w:multiLevelType w:val="hybridMultilevel"/>
    <w:tmpl w:val="44ACEB92"/>
    <w:lvl w:ilvl="0" w:tplc="E1F8A0A8">
      <w:start w:val="1"/>
      <w:numFmt w:val="decimal"/>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
    <w:nsid w:val="02D6684B"/>
    <w:multiLevelType w:val="hybridMultilevel"/>
    <w:tmpl w:val="93F21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2DA1C7E"/>
    <w:multiLevelType w:val="hybridMultilevel"/>
    <w:tmpl w:val="28A0DE36"/>
    <w:lvl w:ilvl="0" w:tplc="0C09000F">
      <w:start w:val="1"/>
      <w:numFmt w:val="decimal"/>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
    <w:nsid w:val="033A65F9"/>
    <w:multiLevelType w:val="multilevel"/>
    <w:tmpl w:val="0C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nsid w:val="05565A8F"/>
    <w:multiLevelType w:val="hybridMultilevel"/>
    <w:tmpl w:val="8BB07A48"/>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A405C89"/>
    <w:multiLevelType w:val="hybridMultilevel"/>
    <w:tmpl w:val="1E74C214"/>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
    <w:nsid w:val="11995438"/>
    <w:multiLevelType w:val="hybridMultilevel"/>
    <w:tmpl w:val="60B80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8412A73"/>
    <w:multiLevelType w:val="multilevel"/>
    <w:tmpl w:val="DA0A4004"/>
    <w:lvl w:ilvl="0">
      <w:start w:val="1"/>
      <w:numFmt w:val="bullet"/>
      <w:lvlText w:val=""/>
      <w:lvlJc w:val="left"/>
      <w:pPr>
        <w:ind w:left="567" w:hanging="207"/>
      </w:pPr>
      <w:rPr>
        <w:rFonts w:ascii="Wingdings" w:hAnsi="Wingdings" w:hint="default"/>
      </w:rPr>
    </w:lvl>
    <w:lvl w:ilvl="1">
      <w:start w:val="1"/>
      <w:numFmt w:val="bullet"/>
      <w:lvlText w:val="­"/>
      <w:lvlJc w:val="left"/>
      <w:pPr>
        <w:ind w:left="964" w:hanging="397"/>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1C9941B6"/>
    <w:multiLevelType w:val="hybridMultilevel"/>
    <w:tmpl w:val="CDEEC7B8"/>
    <w:lvl w:ilvl="0" w:tplc="334440CA">
      <w:start w:val="1"/>
      <w:numFmt w:val="bullet"/>
      <w:lvlText w:val=""/>
      <w:lvlJc w:val="left"/>
      <w:pPr>
        <w:ind w:left="720" w:hanging="360"/>
      </w:pPr>
      <w:rPr>
        <w:rFonts w:ascii="Wingdings" w:hAnsi="Wingdings" w:hint="default"/>
        <w:color w:val="5B5B5B"/>
      </w:rPr>
    </w:lvl>
    <w:lvl w:ilvl="1" w:tplc="C426918A">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0702AD3"/>
    <w:multiLevelType w:val="multilevel"/>
    <w:tmpl w:val="90CE9B06"/>
    <w:lvl w:ilvl="0">
      <w:start w:val="1"/>
      <w:numFmt w:val="bullet"/>
      <w:lvlText w:val=""/>
      <w:lvlJc w:val="left"/>
      <w:pPr>
        <w:ind w:left="397" w:hanging="397"/>
      </w:pPr>
      <w:rPr>
        <w:rFonts w:ascii="Wingdings" w:hAnsi="Wingdings"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nsid w:val="20B90949"/>
    <w:multiLevelType w:val="hybridMultilevel"/>
    <w:tmpl w:val="CD04AE10"/>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
    <w:nsid w:val="21352D8E"/>
    <w:multiLevelType w:val="hybridMultilevel"/>
    <w:tmpl w:val="22989BFA"/>
    <w:lvl w:ilvl="0" w:tplc="0C090005">
      <w:start w:val="1"/>
      <w:numFmt w:val="bullet"/>
      <w:lvlText w:val=""/>
      <w:lvlJc w:val="left"/>
      <w:pPr>
        <w:ind w:left="360" w:hanging="360"/>
      </w:pPr>
      <w:rPr>
        <w:rFonts w:ascii="Wingdings" w:hAnsi="Wingdings"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2FD65A88"/>
    <w:multiLevelType w:val="hybridMultilevel"/>
    <w:tmpl w:val="C5C800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AA91716"/>
    <w:multiLevelType w:val="multilevel"/>
    <w:tmpl w:val="5770BEBA"/>
    <w:lvl w:ilvl="0">
      <w:start w:val="1"/>
      <w:numFmt w:val="bullet"/>
      <w:lvlText w:val=""/>
      <w:lvlJc w:val="left"/>
      <w:pPr>
        <w:ind w:left="567" w:hanging="207"/>
      </w:pPr>
      <w:rPr>
        <w:rFonts w:ascii="Wingdings" w:hAnsi="Wingdings"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nsid w:val="3EB7292A"/>
    <w:multiLevelType w:val="hybridMultilevel"/>
    <w:tmpl w:val="CD04AE10"/>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5">
    <w:nsid w:val="464A3B8E"/>
    <w:multiLevelType w:val="singleLevel"/>
    <w:tmpl w:val="5A20E944"/>
    <w:lvl w:ilvl="0">
      <w:start w:val="1"/>
      <w:numFmt w:val="decimal"/>
      <w:lvlText w:val="%1."/>
      <w:lvlJc w:val="left"/>
      <w:pPr>
        <w:tabs>
          <w:tab w:val="num" w:pos="567"/>
        </w:tabs>
        <w:ind w:left="567" w:hanging="567"/>
      </w:pPr>
      <w:rPr>
        <w:rFonts w:cs="Times New Roman"/>
      </w:rPr>
    </w:lvl>
  </w:abstractNum>
  <w:abstractNum w:abstractNumId="16">
    <w:nsid w:val="4CC97F2D"/>
    <w:multiLevelType w:val="hybridMultilevel"/>
    <w:tmpl w:val="4CA6FB7E"/>
    <w:lvl w:ilvl="0" w:tplc="0C09000F">
      <w:start w:val="1"/>
      <w:numFmt w:val="decimal"/>
      <w:lvlText w:val="%1."/>
      <w:lvlJc w:val="lef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7">
    <w:nsid w:val="52F836E0"/>
    <w:multiLevelType w:val="hybridMultilevel"/>
    <w:tmpl w:val="F7320070"/>
    <w:lvl w:ilvl="0" w:tplc="0C09000F">
      <w:start w:val="1"/>
      <w:numFmt w:val="decimal"/>
      <w:lvlText w:val="%1."/>
      <w:lvlJc w:val="left"/>
      <w:pPr>
        <w:ind w:left="720" w:hanging="360"/>
      </w:pPr>
      <w:rPr>
        <w:rFonts w:cs="Times New Roman"/>
      </w:rPr>
    </w:lvl>
    <w:lvl w:ilvl="1" w:tplc="1884CFB4">
      <w:numFmt w:val="bullet"/>
      <w:lvlText w:val="•"/>
      <w:lvlJc w:val="left"/>
      <w:pPr>
        <w:ind w:left="1440" w:hanging="360"/>
      </w:pPr>
      <w:rPr>
        <w:rFonts w:ascii="Calibri" w:eastAsia="Dotum" w:hAnsi="Calibri" w:hint="default"/>
        <w:b w:val="0"/>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8">
    <w:nsid w:val="5590439B"/>
    <w:multiLevelType w:val="singleLevel"/>
    <w:tmpl w:val="C75EEE8E"/>
    <w:lvl w:ilvl="0">
      <w:start w:val="1"/>
      <w:numFmt w:val="lowerLetter"/>
      <w:lvlText w:val="(%1)"/>
      <w:lvlJc w:val="left"/>
      <w:pPr>
        <w:tabs>
          <w:tab w:val="num" w:pos="1421"/>
        </w:tabs>
        <w:ind w:left="1421" w:hanging="570"/>
      </w:pPr>
      <w:rPr>
        <w:rFonts w:cs="Times New Roman" w:hint="default"/>
      </w:rPr>
    </w:lvl>
  </w:abstractNum>
  <w:abstractNum w:abstractNumId="19">
    <w:nsid w:val="57564CD9"/>
    <w:multiLevelType w:val="hybridMultilevel"/>
    <w:tmpl w:val="DF44D13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5B0F1BFA"/>
    <w:multiLevelType w:val="hybridMultilevel"/>
    <w:tmpl w:val="09266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CC412B5"/>
    <w:multiLevelType w:val="hybridMultilevel"/>
    <w:tmpl w:val="C1A09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CCD6FB7"/>
    <w:multiLevelType w:val="hybridMultilevel"/>
    <w:tmpl w:val="0D4C71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5D863572"/>
    <w:multiLevelType w:val="hybridMultilevel"/>
    <w:tmpl w:val="1E74C214"/>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4">
    <w:nsid w:val="5E5475CB"/>
    <w:multiLevelType w:val="hybridMultilevel"/>
    <w:tmpl w:val="776E45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E827C72"/>
    <w:multiLevelType w:val="multilevel"/>
    <w:tmpl w:val="5770BEBA"/>
    <w:lvl w:ilvl="0">
      <w:start w:val="1"/>
      <w:numFmt w:val="bullet"/>
      <w:lvlText w:val=""/>
      <w:lvlJc w:val="left"/>
      <w:pPr>
        <w:ind w:left="567" w:hanging="207"/>
      </w:pPr>
      <w:rPr>
        <w:rFonts w:ascii="Wingdings" w:hAnsi="Wingdings"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nsid w:val="634D56DA"/>
    <w:multiLevelType w:val="hybridMultilevel"/>
    <w:tmpl w:val="492C8F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7151016C"/>
    <w:multiLevelType w:val="hybridMultilevel"/>
    <w:tmpl w:val="48E2773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745C4B84"/>
    <w:multiLevelType w:val="hybridMultilevel"/>
    <w:tmpl w:val="DE54D5BE"/>
    <w:lvl w:ilvl="0" w:tplc="5DA0549A">
      <w:start w:val="1"/>
      <w:numFmt w:val="bullet"/>
      <w:lvlText w:val=""/>
      <w:lvlJc w:val="left"/>
      <w:pPr>
        <w:ind w:left="360" w:hanging="360"/>
      </w:pPr>
      <w:rPr>
        <w:rFonts w:ascii="Wingdings" w:hAnsi="Wingdings" w:hint="default"/>
        <w:color w:val="auto"/>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7B2A4160"/>
    <w:multiLevelType w:val="singleLevel"/>
    <w:tmpl w:val="C75EEE8E"/>
    <w:lvl w:ilvl="0">
      <w:start w:val="1"/>
      <w:numFmt w:val="lowerLetter"/>
      <w:lvlText w:val="(%1)"/>
      <w:lvlJc w:val="left"/>
      <w:pPr>
        <w:tabs>
          <w:tab w:val="num" w:pos="1421"/>
        </w:tabs>
        <w:ind w:left="1421" w:hanging="570"/>
      </w:pPr>
      <w:rPr>
        <w:rFonts w:cs="Times New Roman" w:hint="default"/>
      </w:rPr>
    </w:lvl>
  </w:abstractNum>
  <w:num w:numId="1">
    <w:abstractNumId w:val="12"/>
  </w:num>
  <w:num w:numId="2">
    <w:abstractNumId w:val="8"/>
  </w:num>
  <w:num w:numId="3">
    <w:abstractNumId w:val="24"/>
  </w:num>
  <w:num w:numId="4">
    <w:abstractNumId w:val="13"/>
  </w:num>
  <w:num w:numId="5">
    <w:abstractNumId w:val="9"/>
  </w:num>
  <w:num w:numId="6">
    <w:abstractNumId w:val="9"/>
    <w:lvlOverride w:ilvl="0">
      <w:lvl w:ilvl="0">
        <w:start w:val="1"/>
        <w:numFmt w:val="bullet"/>
        <w:lvlText w:val=""/>
        <w:lvlJc w:val="left"/>
        <w:pPr>
          <w:ind w:left="397" w:hanging="397"/>
        </w:pPr>
        <w:rPr>
          <w:rFonts w:ascii="Wingdings" w:hAnsi="Wingdings" w:hint="default"/>
        </w:rPr>
      </w:lvl>
    </w:lvlOverride>
    <w:lvlOverride w:ilvl="1">
      <w:lvl w:ilvl="1">
        <w:start w:val="1"/>
        <w:numFmt w:val="bullet"/>
        <w:lvlText w:val="­"/>
        <w:lvlJc w:val="left"/>
        <w:pPr>
          <w:ind w:left="964" w:hanging="397"/>
        </w:pPr>
        <w:rPr>
          <w:rFonts w:ascii="Arial" w:hAnsi="Arial"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hint="default"/>
        </w:rPr>
      </w:lvl>
    </w:lvlOverride>
    <w:lvlOverride w:ilvl="8">
      <w:lvl w:ilvl="8">
        <w:start w:val="1"/>
        <w:numFmt w:val="bullet"/>
        <w:lvlText w:val=""/>
        <w:lvlJc w:val="left"/>
        <w:pPr>
          <w:ind w:left="6480" w:hanging="360"/>
        </w:pPr>
        <w:rPr>
          <w:rFonts w:ascii="Wingdings" w:hAnsi="Wingdings" w:hint="default"/>
        </w:rPr>
      </w:lvl>
    </w:lvlOverride>
  </w:num>
  <w:num w:numId="7">
    <w:abstractNumId w:val="9"/>
    <w:lvlOverride w:ilvl="0">
      <w:lvl w:ilvl="0">
        <w:start w:val="1"/>
        <w:numFmt w:val="bullet"/>
        <w:lvlText w:val=""/>
        <w:lvlJc w:val="left"/>
        <w:pPr>
          <w:ind w:left="397" w:hanging="397"/>
        </w:pPr>
        <w:rPr>
          <w:rFonts w:ascii="Wingdings" w:hAnsi="Wingdings" w:hint="default"/>
        </w:rPr>
      </w:lvl>
    </w:lvlOverride>
    <w:lvlOverride w:ilvl="1">
      <w:lvl w:ilvl="1">
        <w:start w:val="1"/>
        <w:numFmt w:val="bullet"/>
        <w:lvlText w:val="­"/>
        <w:lvlJc w:val="left"/>
        <w:pPr>
          <w:ind w:left="1077" w:hanging="510"/>
        </w:pPr>
        <w:rPr>
          <w:rFonts w:ascii="Arial" w:hAnsi="Arial"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hint="default"/>
        </w:rPr>
      </w:lvl>
    </w:lvlOverride>
    <w:lvlOverride w:ilvl="8">
      <w:lvl w:ilvl="8">
        <w:start w:val="1"/>
        <w:numFmt w:val="bullet"/>
        <w:lvlText w:val=""/>
        <w:lvlJc w:val="left"/>
        <w:pPr>
          <w:ind w:left="6480" w:hanging="360"/>
        </w:pPr>
        <w:rPr>
          <w:rFonts w:ascii="Wingdings" w:hAnsi="Wingdings" w:hint="default"/>
        </w:rPr>
      </w:lvl>
    </w:lvlOverride>
  </w:num>
  <w:num w:numId="8">
    <w:abstractNumId w:val="7"/>
  </w:num>
  <w:num w:numId="9">
    <w:abstractNumId w:val="25"/>
  </w:num>
  <w:num w:numId="10">
    <w:abstractNumId w:val="3"/>
  </w:num>
  <w:num w:numId="11">
    <w:abstractNumId w:val="16"/>
  </w:num>
  <w:num w:numId="12">
    <w:abstractNumId w:val="5"/>
  </w:num>
  <w:num w:numId="13">
    <w:abstractNumId w:val="14"/>
  </w:num>
  <w:num w:numId="14">
    <w:abstractNumId w:val="0"/>
  </w:num>
  <w:num w:numId="15">
    <w:abstractNumId w:val="17"/>
  </w:num>
  <w:num w:numId="16">
    <w:abstractNumId w:val="11"/>
  </w:num>
  <w:num w:numId="17">
    <w:abstractNumId w:val="6"/>
  </w:num>
  <w:num w:numId="18">
    <w:abstractNumId w:val="27"/>
  </w:num>
  <w:num w:numId="19">
    <w:abstractNumId w:val="19"/>
  </w:num>
  <w:num w:numId="20">
    <w:abstractNumId w:val="4"/>
  </w:num>
  <w:num w:numId="21">
    <w:abstractNumId w:val="28"/>
  </w:num>
  <w:num w:numId="22">
    <w:abstractNumId w:val="1"/>
  </w:num>
  <w:num w:numId="23">
    <w:abstractNumId w:val="21"/>
  </w:num>
  <w:num w:numId="24">
    <w:abstractNumId w:val="15"/>
  </w:num>
  <w:num w:numId="25">
    <w:abstractNumId w:val="29"/>
  </w:num>
  <w:num w:numId="26">
    <w:abstractNumId w:val="18"/>
  </w:num>
  <w:num w:numId="27">
    <w:abstractNumId w:val="20"/>
  </w:num>
  <w:num w:numId="28">
    <w:abstractNumId w:val="26"/>
  </w:num>
  <w:num w:numId="29">
    <w:abstractNumId w:val="10"/>
  </w:num>
  <w:num w:numId="30">
    <w:abstractNumId w:val="23"/>
  </w:num>
  <w:num w:numId="31">
    <w:abstractNumId w:val="22"/>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4E07"/>
    <w:rsid w:val="000113CF"/>
    <w:rsid w:val="00015C54"/>
    <w:rsid w:val="00017DEA"/>
    <w:rsid w:val="00021858"/>
    <w:rsid w:val="00023F7B"/>
    <w:rsid w:val="00035656"/>
    <w:rsid w:val="0005225F"/>
    <w:rsid w:val="000525B6"/>
    <w:rsid w:val="00061838"/>
    <w:rsid w:val="00066301"/>
    <w:rsid w:val="00071BB8"/>
    <w:rsid w:val="00081D5E"/>
    <w:rsid w:val="000A38E2"/>
    <w:rsid w:val="000B5A53"/>
    <w:rsid w:val="000D5805"/>
    <w:rsid w:val="000E39E7"/>
    <w:rsid w:val="000F35E7"/>
    <w:rsid w:val="00110083"/>
    <w:rsid w:val="001155E2"/>
    <w:rsid w:val="00122071"/>
    <w:rsid w:val="00122AF0"/>
    <w:rsid w:val="00126907"/>
    <w:rsid w:val="00127900"/>
    <w:rsid w:val="00137F97"/>
    <w:rsid w:val="001570D5"/>
    <w:rsid w:val="00161149"/>
    <w:rsid w:val="00192571"/>
    <w:rsid w:val="001B576B"/>
    <w:rsid w:val="001C7ACF"/>
    <w:rsid w:val="001D65D0"/>
    <w:rsid w:val="001D715A"/>
    <w:rsid w:val="001F45C9"/>
    <w:rsid w:val="002118B7"/>
    <w:rsid w:val="00223143"/>
    <w:rsid w:val="00234D38"/>
    <w:rsid w:val="00236506"/>
    <w:rsid w:val="002418E3"/>
    <w:rsid w:val="00247D8B"/>
    <w:rsid w:val="00261F13"/>
    <w:rsid w:val="0026279E"/>
    <w:rsid w:val="002878B5"/>
    <w:rsid w:val="0029196B"/>
    <w:rsid w:val="002971C4"/>
    <w:rsid w:val="002A4DDD"/>
    <w:rsid w:val="002C0B4C"/>
    <w:rsid w:val="002C4F35"/>
    <w:rsid w:val="002C713B"/>
    <w:rsid w:val="002E207A"/>
    <w:rsid w:val="002F4F9E"/>
    <w:rsid w:val="00307560"/>
    <w:rsid w:val="00317695"/>
    <w:rsid w:val="00324F80"/>
    <w:rsid w:val="003501B6"/>
    <w:rsid w:val="0035766A"/>
    <w:rsid w:val="00364EBF"/>
    <w:rsid w:val="00383D1A"/>
    <w:rsid w:val="0039184C"/>
    <w:rsid w:val="00391D4F"/>
    <w:rsid w:val="003A125B"/>
    <w:rsid w:val="003A6BE1"/>
    <w:rsid w:val="003B7753"/>
    <w:rsid w:val="003C3C1B"/>
    <w:rsid w:val="003D66AB"/>
    <w:rsid w:val="003F0FDA"/>
    <w:rsid w:val="003F31E4"/>
    <w:rsid w:val="003F48E6"/>
    <w:rsid w:val="0040017B"/>
    <w:rsid w:val="004021F3"/>
    <w:rsid w:val="00411F24"/>
    <w:rsid w:val="004134F5"/>
    <w:rsid w:val="00423445"/>
    <w:rsid w:val="0042490B"/>
    <w:rsid w:val="00430CAC"/>
    <w:rsid w:val="00436FB0"/>
    <w:rsid w:val="00450219"/>
    <w:rsid w:val="004663D4"/>
    <w:rsid w:val="004831E3"/>
    <w:rsid w:val="0049110D"/>
    <w:rsid w:val="00495639"/>
    <w:rsid w:val="004A01AC"/>
    <w:rsid w:val="004A2EF8"/>
    <w:rsid w:val="004B7CD3"/>
    <w:rsid w:val="004C64E2"/>
    <w:rsid w:val="004C7DF0"/>
    <w:rsid w:val="004D0DFD"/>
    <w:rsid w:val="004E61B8"/>
    <w:rsid w:val="004F0F9E"/>
    <w:rsid w:val="00515016"/>
    <w:rsid w:val="005170C4"/>
    <w:rsid w:val="00531D55"/>
    <w:rsid w:val="00533465"/>
    <w:rsid w:val="00533865"/>
    <w:rsid w:val="005367B0"/>
    <w:rsid w:val="00544296"/>
    <w:rsid w:val="00545E4F"/>
    <w:rsid w:val="00565157"/>
    <w:rsid w:val="005860B2"/>
    <w:rsid w:val="00586F28"/>
    <w:rsid w:val="005A3C9C"/>
    <w:rsid w:val="005A6660"/>
    <w:rsid w:val="005B7537"/>
    <w:rsid w:val="005D1CA3"/>
    <w:rsid w:val="005E1002"/>
    <w:rsid w:val="005E3CB0"/>
    <w:rsid w:val="005F0077"/>
    <w:rsid w:val="005F30AB"/>
    <w:rsid w:val="005F4CCD"/>
    <w:rsid w:val="00607921"/>
    <w:rsid w:val="00607E23"/>
    <w:rsid w:val="00612BF8"/>
    <w:rsid w:val="00620073"/>
    <w:rsid w:val="00622B3D"/>
    <w:rsid w:val="0063009E"/>
    <w:rsid w:val="006324F6"/>
    <w:rsid w:val="00647848"/>
    <w:rsid w:val="00670CB0"/>
    <w:rsid w:val="006733AD"/>
    <w:rsid w:val="0068788F"/>
    <w:rsid w:val="00690814"/>
    <w:rsid w:val="0069195F"/>
    <w:rsid w:val="00695CA6"/>
    <w:rsid w:val="006A27AA"/>
    <w:rsid w:val="006A5822"/>
    <w:rsid w:val="006C1F90"/>
    <w:rsid w:val="006C2D1B"/>
    <w:rsid w:val="006C2D7B"/>
    <w:rsid w:val="006C3372"/>
    <w:rsid w:val="006E0713"/>
    <w:rsid w:val="006E665F"/>
    <w:rsid w:val="006F0641"/>
    <w:rsid w:val="006F4A1F"/>
    <w:rsid w:val="006F6F72"/>
    <w:rsid w:val="00703586"/>
    <w:rsid w:val="0070491E"/>
    <w:rsid w:val="007058E9"/>
    <w:rsid w:val="00706CFE"/>
    <w:rsid w:val="00707830"/>
    <w:rsid w:val="007117FF"/>
    <w:rsid w:val="00722A49"/>
    <w:rsid w:val="00732F73"/>
    <w:rsid w:val="00741D7F"/>
    <w:rsid w:val="00755917"/>
    <w:rsid w:val="00757D55"/>
    <w:rsid w:val="0076194F"/>
    <w:rsid w:val="007649D7"/>
    <w:rsid w:val="0076629A"/>
    <w:rsid w:val="007667C5"/>
    <w:rsid w:val="007679FF"/>
    <w:rsid w:val="007908D5"/>
    <w:rsid w:val="007A6159"/>
    <w:rsid w:val="007B4607"/>
    <w:rsid w:val="007C225B"/>
    <w:rsid w:val="007E3883"/>
    <w:rsid w:val="007F07C0"/>
    <w:rsid w:val="007F3E37"/>
    <w:rsid w:val="00806B0F"/>
    <w:rsid w:val="00806E9C"/>
    <w:rsid w:val="00810136"/>
    <w:rsid w:val="008161F2"/>
    <w:rsid w:val="008353A9"/>
    <w:rsid w:val="00857BF0"/>
    <w:rsid w:val="00857C02"/>
    <w:rsid w:val="00860858"/>
    <w:rsid w:val="008614CE"/>
    <w:rsid w:val="00861CA7"/>
    <w:rsid w:val="00881CA1"/>
    <w:rsid w:val="0088562A"/>
    <w:rsid w:val="0088681A"/>
    <w:rsid w:val="00891D94"/>
    <w:rsid w:val="00895AB2"/>
    <w:rsid w:val="008B29B9"/>
    <w:rsid w:val="008B2C79"/>
    <w:rsid w:val="008E4786"/>
    <w:rsid w:val="009050F2"/>
    <w:rsid w:val="009072E2"/>
    <w:rsid w:val="00907D4F"/>
    <w:rsid w:val="00913B24"/>
    <w:rsid w:val="00961699"/>
    <w:rsid w:val="009650B9"/>
    <w:rsid w:val="0098358B"/>
    <w:rsid w:val="00983C1C"/>
    <w:rsid w:val="00984FF5"/>
    <w:rsid w:val="009960EE"/>
    <w:rsid w:val="009A2BE4"/>
    <w:rsid w:val="009A45E8"/>
    <w:rsid w:val="009A67BD"/>
    <w:rsid w:val="009B7C9A"/>
    <w:rsid w:val="009C3156"/>
    <w:rsid w:val="009C7C9B"/>
    <w:rsid w:val="009D3325"/>
    <w:rsid w:val="009D3703"/>
    <w:rsid w:val="009D5529"/>
    <w:rsid w:val="009D71F0"/>
    <w:rsid w:val="009E29B0"/>
    <w:rsid w:val="009F1E0E"/>
    <w:rsid w:val="00A04E07"/>
    <w:rsid w:val="00A25195"/>
    <w:rsid w:val="00A26C0F"/>
    <w:rsid w:val="00A274E0"/>
    <w:rsid w:val="00A44F9D"/>
    <w:rsid w:val="00A477A2"/>
    <w:rsid w:val="00A74103"/>
    <w:rsid w:val="00A775DD"/>
    <w:rsid w:val="00A8044C"/>
    <w:rsid w:val="00A80E42"/>
    <w:rsid w:val="00A8463B"/>
    <w:rsid w:val="00A8535B"/>
    <w:rsid w:val="00A92707"/>
    <w:rsid w:val="00A93BAA"/>
    <w:rsid w:val="00AC2FA0"/>
    <w:rsid w:val="00AD3808"/>
    <w:rsid w:val="00AE0E24"/>
    <w:rsid w:val="00B057AA"/>
    <w:rsid w:val="00B06CF1"/>
    <w:rsid w:val="00B402BF"/>
    <w:rsid w:val="00B61402"/>
    <w:rsid w:val="00B6332E"/>
    <w:rsid w:val="00B8432E"/>
    <w:rsid w:val="00B92DEC"/>
    <w:rsid w:val="00B93059"/>
    <w:rsid w:val="00B93845"/>
    <w:rsid w:val="00BA0027"/>
    <w:rsid w:val="00BA1219"/>
    <w:rsid w:val="00BA6119"/>
    <w:rsid w:val="00BB280B"/>
    <w:rsid w:val="00BC4116"/>
    <w:rsid w:val="00BD36A3"/>
    <w:rsid w:val="00BD6615"/>
    <w:rsid w:val="00BF0521"/>
    <w:rsid w:val="00C34F58"/>
    <w:rsid w:val="00C40736"/>
    <w:rsid w:val="00C478B6"/>
    <w:rsid w:val="00C510B9"/>
    <w:rsid w:val="00C57037"/>
    <w:rsid w:val="00C570F0"/>
    <w:rsid w:val="00C642FE"/>
    <w:rsid w:val="00C720AA"/>
    <w:rsid w:val="00C74209"/>
    <w:rsid w:val="00C82CE1"/>
    <w:rsid w:val="00C90BA8"/>
    <w:rsid w:val="00CA7C3E"/>
    <w:rsid w:val="00CB2155"/>
    <w:rsid w:val="00CB3141"/>
    <w:rsid w:val="00CB4277"/>
    <w:rsid w:val="00CC2C80"/>
    <w:rsid w:val="00CC335C"/>
    <w:rsid w:val="00CE6191"/>
    <w:rsid w:val="00CE61C2"/>
    <w:rsid w:val="00CE7C6E"/>
    <w:rsid w:val="00CF1E89"/>
    <w:rsid w:val="00CF53FF"/>
    <w:rsid w:val="00CF5B19"/>
    <w:rsid w:val="00D01F71"/>
    <w:rsid w:val="00D04D31"/>
    <w:rsid w:val="00D052C7"/>
    <w:rsid w:val="00D1645D"/>
    <w:rsid w:val="00D231DE"/>
    <w:rsid w:val="00D6276D"/>
    <w:rsid w:val="00D62852"/>
    <w:rsid w:val="00D6494B"/>
    <w:rsid w:val="00D9293A"/>
    <w:rsid w:val="00D93AC9"/>
    <w:rsid w:val="00DB268D"/>
    <w:rsid w:val="00DB6428"/>
    <w:rsid w:val="00DC14A5"/>
    <w:rsid w:val="00DC65FD"/>
    <w:rsid w:val="00DD49F4"/>
    <w:rsid w:val="00DE0646"/>
    <w:rsid w:val="00DF5D98"/>
    <w:rsid w:val="00DF714C"/>
    <w:rsid w:val="00E053A1"/>
    <w:rsid w:val="00E17F04"/>
    <w:rsid w:val="00E346EF"/>
    <w:rsid w:val="00E42977"/>
    <w:rsid w:val="00E56318"/>
    <w:rsid w:val="00E630EC"/>
    <w:rsid w:val="00E63EDA"/>
    <w:rsid w:val="00E649EF"/>
    <w:rsid w:val="00E70925"/>
    <w:rsid w:val="00E74ABE"/>
    <w:rsid w:val="00E8361B"/>
    <w:rsid w:val="00E90B16"/>
    <w:rsid w:val="00E942DC"/>
    <w:rsid w:val="00E95C74"/>
    <w:rsid w:val="00EB2D7A"/>
    <w:rsid w:val="00EC70C7"/>
    <w:rsid w:val="00ED6855"/>
    <w:rsid w:val="00EF58E4"/>
    <w:rsid w:val="00F0177C"/>
    <w:rsid w:val="00F03972"/>
    <w:rsid w:val="00F169DC"/>
    <w:rsid w:val="00F23E4A"/>
    <w:rsid w:val="00F23E98"/>
    <w:rsid w:val="00F26D22"/>
    <w:rsid w:val="00F364AC"/>
    <w:rsid w:val="00F41A78"/>
    <w:rsid w:val="00F51F1B"/>
    <w:rsid w:val="00F722A4"/>
    <w:rsid w:val="00F83546"/>
    <w:rsid w:val="00F920BC"/>
    <w:rsid w:val="00F93238"/>
    <w:rsid w:val="00F97108"/>
    <w:rsid w:val="00FA04C3"/>
    <w:rsid w:val="00FA2D9A"/>
    <w:rsid w:val="00FA6FC5"/>
    <w:rsid w:val="00FC1005"/>
    <w:rsid w:val="00FC2493"/>
    <w:rsid w:val="00FE2421"/>
    <w:rsid w:val="00FF0462"/>
    <w:rsid w:val="00FF34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Dotum" w:hAnsi="Arial" w:cs="Arial"/>
        <w:sz w:val="22"/>
        <w:szCs w:val="22"/>
        <w:lang w:val="en-AU" w:eastAsia="en-A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A8044C"/>
    <w:pPr>
      <w:spacing w:after="200"/>
    </w:pPr>
    <w:rPr>
      <w:rFonts w:ascii="Calibri" w:hAnsi="Calibri" w:cs="Calibri"/>
      <w:lang w:eastAsia="en-US"/>
    </w:rPr>
  </w:style>
  <w:style w:type="paragraph" w:styleId="Heading1">
    <w:name w:val="heading 1"/>
    <w:basedOn w:val="Normal"/>
    <w:next w:val="Normal"/>
    <w:link w:val="Heading1Char"/>
    <w:uiPriority w:val="99"/>
    <w:qFormat/>
    <w:rsid w:val="00891D94"/>
    <w:pPr>
      <w:pageBreakBefore/>
      <w:widowControl w:val="0"/>
      <w:pBdr>
        <w:top w:val="single" w:sz="48" w:space="1" w:color="C00000"/>
        <w:left w:val="single" w:sz="48" w:space="4" w:color="C00000"/>
        <w:bottom w:val="single" w:sz="48" w:space="1" w:color="C00000"/>
        <w:right w:val="single" w:sz="48" w:space="4" w:color="C00000"/>
      </w:pBdr>
      <w:shd w:val="clear" w:color="auto" w:fill="C00000"/>
      <w:spacing w:before="480" w:after="240"/>
      <w:ind w:right="476"/>
      <w:outlineLvl w:val="0"/>
    </w:pPr>
    <w:rPr>
      <w:rFonts w:eastAsia="HYGothic-Extra" w:cs="Times New Roman"/>
      <w:bCs/>
      <w:color w:val="FFFFFF"/>
      <w:spacing w:val="-20"/>
      <w:sz w:val="60"/>
      <w:szCs w:val="60"/>
    </w:rPr>
  </w:style>
  <w:style w:type="paragraph" w:styleId="Heading2">
    <w:name w:val="heading 2"/>
    <w:basedOn w:val="Normal"/>
    <w:next w:val="Normal"/>
    <w:link w:val="Heading2Char"/>
    <w:uiPriority w:val="99"/>
    <w:qFormat/>
    <w:rsid w:val="00324F80"/>
    <w:pPr>
      <w:spacing w:before="360" w:after="120"/>
      <w:outlineLvl w:val="1"/>
    </w:pPr>
    <w:rPr>
      <w:rFonts w:ascii="Arial" w:hAnsi="Arial" w:cs="Times New Roman"/>
      <w:caps/>
      <w:sz w:val="32"/>
      <w:szCs w:val="32"/>
    </w:rPr>
  </w:style>
  <w:style w:type="paragraph" w:styleId="Heading3">
    <w:name w:val="heading 3"/>
    <w:basedOn w:val="Normal"/>
    <w:next w:val="Normal"/>
    <w:link w:val="Heading3Char"/>
    <w:uiPriority w:val="99"/>
    <w:qFormat/>
    <w:rsid w:val="00A04E07"/>
    <w:pPr>
      <w:spacing w:before="60" w:after="0"/>
      <w:outlineLvl w:val="2"/>
    </w:pPr>
    <w:rPr>
      <w:rFonts w:eastAsia="HYGothic-Extra" w:cs="Times New Roman"/>
      <w:b/>
      <w:bCs/>
      <w:caps/>
      <w:color w:val="D1282E"/>
      <w:sz w:val="28"/>
      <w:szCs w:val="28"/>
    </w:rPr>
  </w:style>
  <w:style w:type="paragraph" w:styleId="Heading4">
    <w:name w:val="heading 4"/>
    <w:basedOn w:val="Normal"/>
    <w:next w:val="Normal"/>
    <w:link w:val="Heading4Char"/>
    <w:uiPriority w:val="99"/>
    <w:qFormat/>
    <w:rsid w:val="009D5529"/>
    <w:pPr>
      <w:keepNext/>
      <w:keepLines/>
      <w:spacing w:before="200" w:after="0"/>
      <w:outlineLvl w:val="3"/>
    </w:pPr>
    <w:rPr>
      <w:rFonts w:ascii="Arial Black" w:eastAsia="HYGothic-Extra" w:hAnsi="Arial Black" w:cs="Times New Roman"/>
      <w:bCs/>
      <w:i/>
      <w:iCs/>
      <w:color w:val="7A7A7A"/>
      <w:sz w:val="20"/>
      <w:szCs w:val="20"/>
      <w:lang w:eastAsia="ja-JP"/>
    </w:rPr>
  </w:style>
  <w:style w:type="paragraph" w:styleId="Heading5">
    <w:name w:val="heading 5"/>
    <w:basedOn w:val="Normal"/>
    <w:next w:val="Normal"/>
    <w:link w:val="Heading5Char"/>
    <w:uiPriority w:val="99"/>
    <w:qFormat/>
    <w:rsid w:val="009D5529"/>
    <w:pPr>
      <w:keepNext/>
      <w:keepLines/>
      <w:spacing w:before="200" w:after="0"/>
      <w:outlineLvl w:val="4"/>
    </w:pPr>
    <w:rPr>
      <w:rFonts w:ascii="Arial" w:eastAsia="HYGothic-Extra" w:hAnsi="Arial" w:cs="Times New Roman"/>
      <w:b/>
      <w:color w:val="5B5B5B"/>
      <w:sz w:val="20"/>
      <w:szCs w:val="20"/>
      <w:lang w:eastAsia="ja-JP"/>
    </w:rPr>
  </w:style>
  <w:style w:type="paragraph" w:styleId="Heading6">
    <w:name w:val="heading 6"/>
    <w:basedOn w:val="Normal"/>
    <w:next w:val="Normal"/>
    <w:link w:val="Heading6Char"/>
    <w:uiPriority w:val="99"/>
    <w:qFormat/>
    <w:rsid w:val="009D5529"/>
    <w:pPr>
      <w:keepNext/>
      <w:keepLines/>
      <w:spacing w:before="200" w:after="0"/>
      <w:outlineLvl w:val="5"/>
    </w:pPr>
    <w:rPr>
      <w:rFonts w:ascii="Arial Black" w:eastAsia="HYGothic-Extra" w:hAnsi="Arial Black" w:cs="Times New Roman"/>
      <w:i/>
      <w:iCs/>
      <w:color w:val="5B5B5B"/>
      <w:sz w:val="20"/>
      <w:szCs w:val="20"/>
      <w:lang w:eastAsia="ja-JP"/>
    </w:rPr>
  </w:style>
  <w:style w:type="paragraph" w:styleId="Heading7">
    <w:name w:val="heading 7"/>
    <w:basedOn w:val="Normal"/>
    <w:next w:val="Normal"/>
    <w:link w:val="Heading7Char"/>
    <w:uiPriority w:val="99"/>
    <w:qFormat/>
    <w:rsid w:val="009D5529"/>
    <w:pPr>
      <w:keepNext/>
      <w:keepLines/>
      <w:spacing w:before="200" w:after="0"/>
      <w:outlineLvl w:val="6"/>
    </w:pPr>
    <w:rPr>
      <w:rFonts w:ascii="Arial" w:eastAsia="HYGothic-Extra" w:hAnsi="Arial" w:cs="Times New Roman"/>
      <w:b/>
      <w:iCs/>
      <w:color w:val="D1282E"/>
      <w:sz w:val="20"/>
      <w:szCs w:val="20"/>
      <w:lang w:eastAsia="ja-JP"/>
    </w:rPr>
  </w:style>
  <w:style w:type="paragraph" w:styleId="Heading8">
    <w:name w:val="heading 8"/>
    <w:basedOn w:val="Normal"/>
    <w:next w:val="Normal"/>
    <w:link w:val="Heading8Char"/>
    <w:uiPriority w:val="99"/>
    <w:qFormat/>
    <w:rsid w:val="009D5529"/>
    <w:pPr>
      <w:keepNext/>
      <w:keepLines/>
      <w:spacing w:before="200" w:after="0"/>
      <w:outlineLvl w:val="7"/>
    </w:pPr>
    <w:rPr>
      <w:rFonts w:ascii="Arial Black" w:eastAsia="HYGothic-Extra" w:hAnsi="Arial Black" w:cs="Times New Roman"/>
      <w:color w:val="7A7A7A"/>
      <w:sz w:val="20"/>
      <w:szCs w:val="20"/>
      <w:lang w:eastAsia="ja-JP"/>
    </w:rPr>
  </w:style>
  <w:style w:type="paragraph" w:styleId="Heading9">
    <w:name w:val="heading 9"/>
    <w:basedOn w:val="Normal"/>
    <w:next w:val="Normal"/>
    <w:link w:val="Heading9Char"/>
    <w:uiPriority w:val="99"/>
    <w:qFormat/>
    <w:rsid w:val="009D5529"/>
    <w:pPr>
      <w:keepNext/>
      <w:keepLines/>
      <w:spacing w:before="200" w:after="0"/>
      <w:outlineLvl w:val="8"/>
    </w:pPr>
    <w:rPr>
      <w:rFonts w:ascii="Arial Black" w:eastAsia="HYGothic-Extra" w:hAnsi="Arial Black" w:cs="Times New Roman"/>
      <w:i/>
      <w:iCs/>
      <w:color w:val="5B5B5B"/>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91D94"/>
    <w:rPr>
      <w:rFonts w:ascii="Calibri" w:eastAsia="HYGothic-Extra" w:hAnsi="Calibri"/>
      <w:color w:val="FFFFFF"/>
      <w:spacing w:val="-20"/>
      <w:sz w:val="60"/>
      <w:shd w:val="clear" w:color="auto" w:fill="C00000"/>
      <w:lang w:eastAsia="en-US"/>
    </w:rPr>
  </w:style>
  <w:style w:type="character" w:customStyle="1" w:styleId="Heading2Char">
    <w:name w:val="Heading 2 Char"/>
    <w:basedOn w:val="DefaultParagraphFont"/>
    <w:link w:val="Heading2"/>
    <w:uiPriority w:val="99"/>
    <w:locked/>
    <w:rsid w:val="00324F80"/>
    <w:rPr>
      <w:caps/>
      <w:sz w:val="32"/>
      <w:lang w:eastAsia="en-US"/>
    </w:rPr>
  </w:style>
  <w:style w:type="character" w:customStyle="1" w:styleId="Heading3Char">
    <w:name w:val="Heading 3 Char"/>
    <w:basedOn w:val="DefaultParagraphFont"/>
    <w:link w:val="Heading3"/>
    <w:uiPriority w:val="99"/>
    <w:locked/>
    <w:rsid w:val="00A04E07"/>
    <w:rPr>
      <w:rFonts w:ascii="Calibri" w:eastAsia="HYGothic-Extra" w:hAnsi="Calibri"/>
      <w:b/>
      <w:caps/>
      <w:color w:val="D1282E"/>
      <w:sz w:val="28"/>
      <w:lang w:eastAsia="en-US"/>
    </w:rPr>
  </w:style>
  <w:style w:type="character" w:customStyle="1" w:styleId="Heading4Char">
    <w:name w:val="Heading 4 Char"/>
    <w:basedOn w:val="DefaultParagraphFont"/>
    <w:link w:val="Heading4"/>
    <w:uiPriority w:val="99"/>
    <w:locked/>
    <w:rsid w:val="009D5529"/>
    <w:rPr>
      <w:rFonts w:ascii="Arial Black" w:eastAsia="HYGothic-Extra" w:hAnsi="Arial Black"/>
      <w:i/>
      <w:color w:val="7A7A7A"/>
    </w:rPr>
  </w:style>
  <w:style w:type="character" w:customStyle="1" w:styleId="Heading5Char">
    <w:name w:val="Heading 5 Char"/>
    <w:basedOn w:val="DefaultParagraphFont"/>
    <w:link w:val="Heading5"/>
    <w:uiPriority w:val="99"/>
    <w:semiHidden/>
    <w:locked/>
    <w:rsid w:val="009D5529"/>
    <w:rPr>
      <w:rFonts w:eastAsia="HYGothic-Extra"/>
      <w:b/>
      <w:color w:val="5B5B5B"/>
    </w:rPr>
  </w:style>
  <w:style w:type="character" w:customStyle="1" w:styleId="Heading6Char">
    <w:name w:val="Heading 6 Char"/>
    <w:basedOn w:val="DefaultParagraphFont"/>
    <w:link w:val="Heading6"/>
    <w:uiPriority w:val="99"/>
    <w:semiHidden/>
    <w:locked/>
    <w:rsid w:val="009D5529"/>
    <w:rPr>
      <w:rFonts w:ascii="Arial Black" w:eastAsia="HYGothic-Extra" w:hAnsi="Arial Black"/>
      <w:i/>
      <w:color w:val="5B5B5B"/>
    </w:rPr>
  </w:style>
  <w:style w:type="character" w:customStyle="1" w:styleId="Heading7Char">
    <w:name w:val="Heading 7 Char"/>
    <w:basedOn w:val="DefaultParagraphFont"/>
    <w:link w:val="Heading7"/>
    <w:uiPriority w:val="99"/>
    <w:semiHidden/>
    <w:locked/>
    <w:rsid w:val="009D5529"/>
    <w:rPr>
      <w:rFonts w:eastAsia="HYGothic-Extra"/>
      <w:b/>
      <w:color w:val="D1282E"/>
    </w:rPr>
  </w:style>
  <w:style w:type="character" w:customStyle="1" w:styleId="Heading8Char">
    <w:name w:val="Heading 8 Char"/>
    <w:basedOn w:val="DefaultParagraphFont"/>
    <w:link w:val="Heading8"/>
    <w:uiPriority w:val="99"/>
    <w:semiHidden/>
    <w:locked/>
    <w:rsid w:val="009D5529"/>
    <w:rPr>
      <w:rFonts w:ascii="Arial Black" w:eastAsia="HYGothic-Extra" w:hAnsi="Arial Black"/>
      <w:color w:val="7A7A7A"/>
      <w:sz w:val="20"/>
    </w:rPr>
  </w:style>
  <w:style w:type="character" w:customStyle="1" w:styleId="Heading9Char">
    <w:name w:val="Heading 9 Char"/>
    <w:basedOn w:val="DefaultParagraphFont"/>
    <w:link w:val="Heading9"/>
    <w:uiPriority w:val="99"/>
    <w:semiHidden/>
    <w:locked/>
    <w:rsid w:val="009D5529"/>
    <w:rPr>
      <w:rFonts w:ascii="Arial Black" w:eastAsia="HYGothic-Extra" w:hAnsi="Arial Black"/>
      <w:i/>
      <w:color w:val="5B5B5B"/>
      <w:sz w:val="20"/>
    </w:rPr>
  </w:style>
  <w:style w:type="paragraph" w:styleId="Caption">
    <w:name w:val="caption"/>
    <w:basedOn w:val="Normal"/>
    <w:next w:val="Normal"/>
    <w:uiPriority w:val="99"/>
    <w:qFormat/>
    <w:rsid w:val="009D5529"/>
    <w:rPr>
      <w:bCs/>
      <w:caps/>
      <w:color w:val="7A7A7A"/>
      <w:sz w:val="18"/>
      <w:szCs w:val="18"/>
    </w:rPr>
  </w:style>
  <w:style w:type="paragraph" w:styleId="Title">
    <w:name w:val="Title"/>
    <w:basedOn w:val="Normal"/>
    <w:next w:val="Normal"/>
    <w:link w:val="TitleChar"/>
    <w:uiPriority w:val="99"/>
    <w:qFormat/>
    <w:rsid w:val="00F03972"/>
    <w:pPr>
      <w:spacing w:before="360" w:after="60"/>
      <w:contextualSpacing/>
    </w:pPr>
    <w:rPr>
      <w:rFonts w:eastAsia="HYGothic-Extra" w:cs="Times New Roman"/>
      <w:b/>
      <w:caps/>
      <w:color w:val="005374"/>
      <w:spacing w:val="-20"/>
      <w:kern w:val="28"/>
      <w:sz w:val="60"/>
      <w:szCs w:val="60"/>
    </w:rPr>
  </w:style>
  <w:style w:type="character" w:customStyle="1" w:styleId="TitleChar">
    <w:name w:val="Title Char"/>
    <w:basedOn w:val="DefaultParagraphFont"/>
    <w:link w:val="Title"/>
    <w:uiPriority w:val="99"/>
    <w:locked/>
    <w:rsid w:val="00F03972"/>
    <w:rPr>
      <w:rFonts w:ascii="Calibri" w:eastAsia="HYGothic-Extra" w:hAnsi="Calibri"/>
      <w:b/>
      <w:caps/>
      <w:color w:val="005374"/>
      <w:spacing w:val="-20"/>
      <w:kern w:val="28"/>
      <w:sz w:val="60"/>
      <w:lang w:eastAsia="en-US"/>
    </w:rPr>
  </w:style>
  <w:style w:type="paragraph" w:styleId="Subtitle">
    <w:name w:val="Subtitle"/>
    <w:basedOn w:val="Normal"/>
    <w:next w:val="Normal"/>
    <w:link w:val="SubtitleChar"/>
    <w:uiPriority w:val="99"/>
    <w:qFormat/>
    <w:rsid w:val="009960EE"/>
    <w:pPr>
      <w:numPr>
        <w:ilvl w:val="1"/>
      </w:numPr>
    </w:pPr>
    <w:rPr>
      <w:rFonts w:eastAsia="HYGothic-Extra" w:cs="Times New Roman"/>
      <w:b/>
      <w:bCs/>
      <w:iCs/>
      <w:color w:val="D1282E"/>
      <w:sz w:val="40"/>
      <w:szCs w:val="40"/>
      <w:lang w:val="en-US"/>
    </w:rPr>
  </w:style>
  <w:style w:type="character" w:customStyle="1" w:styleId="SubtitleChar">
    <w:name w:val="Subtitle Char"/>
    <w:basedOn w:val="DefaultParagraphFont"/>
    <w:link w:val="Subtitle"/>
    <w:uiPriority w:val="99"/>
    <w:locked/>
    <w:rsid w:val="009960EE"/>
    <w:rPr>
      <w:rFonts w:ascii="Calibri" w:eastAsia="HYGothic-Extra" w:hAnsi="Calibri"/>
      <w:b/>
      <w:color w:val="D1282E"/>
      <w:sz w:val="40"/>
      <w:lang w:val="en-US" w:eastAsia="en-US"/>
    </w:rPr>
  </w:style>
  <w:style w:type="character" w:styleId="Strong">
    <w:name w:val="Strong"/>
    <w:basedOn w:val="DefaultParagraphFont"/>
    <w:uiPriority w:val="99"/>
    <w:qFormat/>
    <w:rsid w:val="009D5529"/>
    <w:rPr>
      <w:rFonts w:cs="Times New Roman"/>
      <w:b/>
    </w:rPr>
  </w:style>
  <w:style w:type="character" w:styleId="Emphasis">
    <w:name w:val="Emphasis"/>
    <w:basedOn w:val="DefaultParagraphFont"/>
    <w:uiPriority w:val="99"/>
    <w:qFormat/>
    <w:rsid w:val="009D5529"/>
    <w:rPr>
      <w:rFonts w:cs="Times New Roman"/>
      <w:i/>
    </w:rPr>
  </w:style>
  <w:style w:type="paragraph" w:styleId="NoSpacing">
    <w:name w:val="No Spacing"/>
    <w:link w:val="NoSpacingChar"/>
    <w:uiPriority w:val="99"/>
    <w:qFormat/>
    <w:rsid w:val="004C7DF0"/>
    <w:rPr>
      <w:rFonts w:ascii="Calibri" w:hAnsi="Calibri" w:cs="Calibri"/>
      <w:lang w:val="en-US" w:eastAsia="en-US"/>
    </w:rPr>
  </w:style>
  <w:style w:type="character" w:customStyle="1" w:styleId="NoSpacingChar">
    <w:name w:val="No Spacing Char"/>
    <w:basedOn w:val="DefaultParagraphFont"/>
    <w:link w:val="NoSpacing"/>
    <w:uiPriority w:val="99"/>
    <w:locked/>
    <w:rsid w:val="004C7DF0"/>
    <w:rPr>
      <w:rFonts w:ascii="Calibri" w:hAnsi="Calibri" w:cs="Calibri"/>
      <w:sz w:val="22"/>
      <w:szCs w:val="22"/>
      <w:lang w:val="en-US" w:eastAsia="en-US" w:bidi="ar-SA"/>
    </w:rPr>
  </w:style>
  <w:style w:type="paragraph" w:styleId="ListParagraph">
    <w:name w:val="List Paragraph"/>
    <w:basedOn w:val="Normal"/>
    <w:link w:val="ListParagraphChar"/>
    <w:uiPriority w:val="99"/>
    <w:qFormat/>
    <w:rsid w:val="009D5529"/>
    <w:pPr>
      <w:ind w:left="720"/>
      <w:contextualSpacing/>
    </w:pPr>
  </w:style>
  <w:style w:type="paragraph" w:styleId="Quote">
    <w:name w:val="Quote"/>
    <w:basedOn w:val="Normal"/>
    <w:next w:val="Normal"/>
    <w:link w:val="QuoteChar"/>
    <w:uiPriority w:val="99"/>
    <w:qFormat/>
    <w:rsid w:val="009D5529"/>
    <w:pPr>
      <w:spacing w:line="360" w:lineRule="auto"/>
    </w:pPr>
    <w:rPr>
      <w:rFonts w:ascii="Arial" w:hAnsi="Arial" w:cs="Times New Roman"/>
      <w:i/>
      <w:iCs/>
      <w:color w:val="7A7A7A"/>
      <w:sz w:val="28"/>
      <w:szCs w:val="20"/>
      <w:lang w:eastAsia="ja-JP"/>
    </w:rPr>
  </w:style>
  <w:style w:type="character" w:customStyle="1" w:styleId="QuoteChar">
    <w:name w:val="Quote Char"/>
    <w:basedOn w:val="DefaultParagraphFont"/>
    <w:link w:val="Quote"/>
    <w:uiPriority w:val="99"/>
    <w:locked/>
    <w:rsid w:val="009D5529"/>
    <w:rPr>
      <w:i/>
      <w:color w:val="7A7A7A"/>
      <w:sz w:val="28"/>
    </w:rPr>
  </w:style>
  <w:style w:type="paragraph" w:styleId="IntenseQuote">
    <w:name w:val="Intense Quote"/>
    <w:basedOn w:val="Normal"/>
    <w:next w:val="Normal"/>
    <w:link w:val="IntenseQuoteChar"/>
    <w:uiPriority w:val="99"/>
    <w:qFormat/>
    <w:rsid w:val="009D5529"/>
    <w:pPr>
      <w:pBdr>
        <w:top w:val="single" w:sz="36" w:space="5" w:color="000000"/>
        <w:bottom w:val="single" w:sz="18" w:space="5" w:color="D1282E"/>
      </w:pBdr>
      <w:spacing w:before="200" w:after="280" w:line="360" w:lineRule="auto"/>
    </w:pPr>
    <w:rPr>
      <w:rFonts w:ascii="Arial" w:hAnsi="Arial" w:cs="Times New Roman"/>
      <w:b/>
      <w:bCs/>
      <w:i/>
      <w:iCs/>
      <w:color w:val="7F7F7F"/>
      <w:sz w:val="26"/>
      <w:szCs w:val="20"/>
      <w:lang w:eastAsia="ja-JP"/>
    </w:rPr>
  </w:style>
  <w:style w:type="character" w:customStyle="1" w:styleId="IntenseQuoteChar">
    <w:name w:val="Intense Quote Char"/>
    <w:basedOn w:val="DefaultParagraphFont"/>
    <w:link w:val="IntenseQuote"/>
    <w:uiPriority w:val="99"/>
    <w:locked/>
    <w:rsid w:val="009D5529"/>
    <w:rPr>
      <w:b/>
      <w:i/>
      <w:color w:val="7F7F7F"/>
      <w:sz w:val="26"/>
    </w:rPr>
  </w:style>
  <w:style w:type="character" w:styleId="SubtleEmphasis">
    <w:name w:val="Subtle Emphasis"/>
    <w:basedOn w:val="DefaultParagraphFont"/>
    <w:uiPriority w:val="99"/>
    <w:qFormat/>
    <w:rsid w:val="009D5529"/>
    <w:rPr>
      <w:i/>
      <w:color w:val="7A7A7A"/>
    </w:rPr>
  </w:style>
  <w:style w:type="character" w:styleId="IntenseEmphasis">
    <w:name w:val="Intense Emphasis"/>
    <w:basedOn w:val="DefaultParagraphFont"/>
    <w:uiPriority w:val="99"/>
    <w:qFormat/>
    <w:rsid w:val="009D5529"/>
    <w:rPr>
      <w:b/>
      <w:i/>
      <w:color w:val="D1282E"/>
    </w:rPr>
  </w:style>
  <w:style w:type="character" w:styleId="SubtleReference">
    <w:name w:val="Subtle Reference"/>
    <w:basedOn w:val="DefaultParagraphFont"/>
    <w:uiPriority w:val="99"/>
    <w:qFormat/>
    <w:rsid w:val="009D5529"/>
    <w:rPr>
      <w:rFonts w:ascii="Arial" w:hAnsi="Arial"/>
      <w:smallCaps/>
      <w:color w:val="F5C201"/>
      <w:sz w:val="22"/>
      <w:u w:val="none"/>
    </w:rPr>
  </w:style>
  <w:style w:type="character" w:styleId="IntenseReference">
    <w:name w:val="Intense Reference"/>
    <w:basedOn w:val="DefaultParagraphFont"/>
    <w:uiPriority w:val="99"/>
    <w:qFormat/>
    <w:rsid w:val="009D5529"/>
    <w:rPr>
      <w:rFonts w:ascii="Arial" w:hAnsi="Arial"/>
      <w:b/>
      <w:caps/>
      <w:color w:val="F5C201"/>
      <w:spacing w:val="5"/>
      <w:sz w:val="22"/>
      <w:u w:val="single"/>
    </w:rPr>
  </w:style>
  <w:style w:type="character" w:styleId="BookTitle">
    <w:name w:val="Book Title"/>
    <w:basedOn w:val="DefaultParagraphFont"/>
    <w:uiPriority w:val="99"/>
    <w:qFormat/>
    <w:rsid w:val="009D5529"/>
    <w:rPr>
      <w:rFonts w:ascii="Arial" w:hAnsi="Arial"/>
      <w:b/>
      <w:caps/>
      <w:color w:val="3D3D3D"/>
      <w:spacing w:val="5"/>
      <w:sz w:val="22"/>
    </w:rPr>
  </w:style>
  <w:style w:type="paragraph" w:styleId="TOCHeading">
    <w:name w:val="TOC Heading"/>
    <w:basedOn w:val="Heading1"/>
    <w:next w:val="Normal"/>
    <w:uiPriority w:val="99"/>
    <w:qFormat/>
    <w:rsid w:val="009D5529"/>
    <w:pPr>
      <w:outlineLvl w:val="9"/>
    </w:pPr>
  </w:style>
  <w:style w:type="paragraph" w:styleId="BalloonText">
    <w:name w:val="Balloon Text"/>
    <w:basedOn w:val="Normal"/>
    <w:link w:val="BalloonTextChar"/>
    <w:uiPriority w:val="99"/>
    <w:semiHidden/>
    <w:rsid w:val="009D5529"/>
    <w:pPr>
      <w:spacing w:after="0"/>
    </w:pPr>
    <w:rPr>
      <w:rFonts w:ascii="Tahoma" w:hAnsi="Tahoma" w:cs="Times New Roman"/>
      <w:sz w:val="16"/>
      <w:szCs w:val="16"/>
      <w:lang w:eastAsia="ja-JP"/>
    </w:rPr>
  </w:style>
  <w:style w:type="character" w:customStyle="1" w:styleId="BalloonTextChar">
    <w:name w:val="Balloon Text Char"/>
    <w:basedOn w:val="DefaultParagraphFont"/>
    <w:link w:val="BalloonText"/>
    <w:uiPriority w:val="99"/>
    <w:semiHidden/>
    <w:locked/>
    <w:rsid w:val="009D5529"/>
    <w:rPr>
      <w:rFonts w:ascii="Tahoma" w:hAnsi="Tahoma"/>
      <w:sz w:val="16"/>
    </w:rPr>
  </w:style>
  <w:style w:type="character" w:styleId="PlaceholderText">
    <w:name w:val="Placeholder Text"/>
    <w:basedOn w:val="DefaultParagraphFont"/>
    <w:uiPriority w:val="99"/>
    <w:rsid w:val="009D5529"/>
    <w:rPr>
      <w:color w:val="808080"/>
    </w:rPr>
  </w:style>
  <w:style w:type="paragraph" w:styleId="Header">
    <w:name w:val="header"/>
    <w:basedOn w:val="Normal"/>
    <w:link w:val="HeaderChar"/>
    <w:uiPriority w:val="99"/>
    <w:rsid w:val="009D5529"/>
    <w:pPr>
      <w:tabs>
        <w:tab w:val="center" w:pos="4680"/>
        <w:tab w:val="right" w:pos="9360"/>
      </w:tabs>
      <w:spacing w:after="0"/>
    </w:pPr>
    <w:rPr>
      <w:rFonts w:ascii="Arial" w:hAnsi="Arial" w:cs="Times New Roman"/>
      <w:sz w:val="20"/>
      <w:szCs w:val="20"/>
      <w:lang w:eastAsia="ja-JP"/>
    </w:rPr>
  </w:style>
  <w:style w:type="character" w:customStyle="1" w:styleId="HeaderChar">
    <w:name w:val="Header Char"/>
    <w:basedOn w:val="DefaultParagraphFont"/>
    <w:link w:val="Header"/>
    <w:uiPriority w:val="99"/>
    <w:locked/>
    <w:rsid w:val="009D5529"/>
    <w:rPr>
      <w:lang w:eastAsia="ja-JP"/>
    </w:rPr>
  </w:style>
  <w:style w:type="paragraph" w:styleId="Footer">
    <w:name w:val="footer"/>
    <w:basedOn w:val="Normal"/>
    <w:link w:val="FooterChar"/>
    <w:uiPriority w:val="99"/>
    <w:rsid w:val="009D5529"/>
    <w:pPr>
      <w:tabs>
        <w:tab w:val="center" w:pos="4680"/>
        <w:tab w:val="right" w:pos="9360"/>
      </w:tabs>
      <w:spacing w:after="0"/>
    </w:pPr>
  </w:style>
  <w:style w:type="character" w:customStyle="1" w:styleId="FooterChar">
    <w:name w:val="Footer Char"/>
    <w:basedOn w:val="DefaultParagraphFont"/>
    <w:link w:val="Footer"/>
    <w:uiPriority w:val="99"/>
    <w:locked/>
    <w:rsid w:val="009D5529"/>
    <w:rPr>
      <w:rFonts w:cs="Times New Roman"/>
    </w:rPr>
  </w:style>
  <w:style w:type="paragraph" w:styleId="TOC1">
    <w:name w:val="toc 1"/>
    <w:basedOn w:val="Normal"/>
    <w:next w:val="Normal"/>
    <w:autoRedefine/>
    <w:uiPriority w:val="99"/>
    <w:rsid w:val="00891D94"/>
    <w:pPr>
      <w:tabs>
        <w:tab w:val="right" w:leader="dot" w:pos="8931"/>
      </w:tabs>
    </w:pPr>
    <w:rPr>
      <w:b/>
      <w:caps/>
    </w:rPr>
  </w:style>
  <w:style w:type="paragraph" w:styleId="TOC2">
    <w:name w:val="toc 2"/>
    <w:basedOn w:val="Normal"/>
    <w:next w:val="Normal"/>
    <w:autoRedefine/>
    <w:uiPriority w:val="99"/>
    <w:rsid w:val="00891D94"/>
    <w:pPr>
      <w:tabs>
        <w:tab w:val="right" w:leader="dot" w:pos="8931"/>
      </w:tabs>
      <w:ind w:left="220"/>
    </w:pPr>
  </w:style>
  <w:style w:type="paragraph" w:styleId="TOC3">
    <w:name w:val="toc 3"/>
    <w:basedOn w:val="Normal"/>
    <w:next w:val="Normal"/>
    <w:autoRedefine/>
    <w:uiPriority w:val="99"/>
    <w:rsid w:val="00891D94"/>
    <w:pPr>
      <w:tabs>
        <w:tab w:val="right" w:leader="dot" w:pos="8931"/>
      </w:tabs>
      <w:ind w:left="440"/>
    </w:pPr>
  </w:style>
  <w:style w:type="character" w:styleId="Hyperlink">
    <w:name w:val="Hyperlink"/>
    <w:basedOn w:val="DefaultParagraphFont"/>
    <w:uiPriority w:val="99"/>
    <w:rsid w:val="009960EE"/>
    <w:rPr>
      <w:rFonts w:cs="Times New Roman"/>
      <w:color w:val="0000FF"/>
      <w:u w:val="single"/>
    </w:rPr>
  </w:style>
  <w:style w:type="table" w:styleId="TableGrid">
    <w:name w:val="Table Grid"/>
    <w:basedOn w:val="TableNormal"/>
    <w:uiPriority w:val="99"/>
    <w:rsid w:val="00F722A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BATableStyle1">
    <w:name w:val="NBA Table Style 1"/>
    <w:basedOn w:val="TableGrid"/>
    <w:uiPriority w:val="99"/>
    <w:rsid w:val="00FA6FC5"/>
    <w:pPr>
      <w:contextualSpacing/>
    </w:pPr>
    <w:rPr>
      <w:rFonts w:ascii="Calibri" w:hAnsi="Calibri"/>
      <w:color w:val="000000"/>
    </w:rPr>
    <w:tblP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57" w:type="dxa"/>
        <w:left w:w="108" w:type="dxa"/>
        <w:bottom w:w="57" w:type="dxa"/>
        <w:right w:w="108" w:type="dxa"/>
      </w:tblCellMar>
    </w:tblPr>
    <w:tcPr>
      <w:shd w:val="clear" w:color="auto" w:fill="F2F2F2"/>
    </w:tcPr>
    <w:tblStylePr w:type="firstRow">
      <w:pPr>
        <w:jc w:val="center"/>
      </w:pPr>
      <w:rPr>
        <w:rFonts w:cs="Arial"/>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C00000"/>
      </w:tcPr>
    </w:tblStylePr>
  </w:style>
  <w:style w:type="table" w:customStyle="1" w:styleId="NBATableStyle2">
    <w:name w:val="NBA Table Style 2"/>
    <w:basedOn w:val="NBATableStyle1"/>
    <w:uiPriority w:val="99"/>
    <w:rsid w:val="00FA6FC5"/>
    <w:tblP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57" w:type="dxa"/>
        <w:left w:w="108" w:type="dxa"/>
        <w:bottom w:w="57" w:type="dxa"/>
        <w:right w:w="108" w:type="dxa"/>
      </w:tblCellMar>
    </w:tblPr>
    <w:tcPr>
      <w:shd w:val="clear" w:color="auto" w:fill="F2F2F2"/>
    </w:tcPr>
    <w:tblStylePr w:type="firstRow">
      <w:pPr>
        <w:jc w:val="center"/>
      </w:pPr>
      <w:rPr>
        <w:rFonts w:cs="Arial"/>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C00000"/>
      </w:tcPr>
    </w:tblStylePr>
    <w:tblStylePr w:type="firstCol">
      <w:rPr>
        <w:rFonts w:cs="Arial"/>
        <w:color w:val="000000"/>
      </w:rPr>
      <w:tblPr/>
      <w:tcPr>
        <w:shd w:val="clear" w:color="auto" w:fill="FFD5D5"/>
      </w:tcPr>
    </w:tblStylePr>
  </w:style>
  <w:style w:type="table" w:customStyle="1" w:styleId="NBATableStyle3">
    <w:name w:val="NBA Table Style 3"/>
    <w:basedOn w:val="NBATableStyle1"/>
    <w:uiPriority w:val="99"/>
    <w:rsid w:val="006C3372"/>
    <w:tblPr>
      <w:tblStyleRowBandSize w:val="1"/>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57" w:type="dxa"/>
        <w:left w:w="108" w:type="dxa"/>
        <w:bottom w:w="57" w:type="dxa"/>
        <w:right w:w="108" w:type="dxa"/>
      </w:tblCellMar>
    </w:tblPr>
    <w:tcPr>
      <w:shd w:val="clear" w:color="auto" w:fill="F2F2F2"/>
    </w:tcPr>
    <w:tblStylePr w:type="firstRow">
      <w:pPr>
        <w:jc w:val="left"/>
      </w:pPr>
      <w:rPr>
        <w:rFonts w:cs="Arial"/>
        <w:b/>
        <w:color w:val="C00000"/>
      </w:rPr>
      <w:tblPr/>
      <w:tcPr>
        <w:tcBorders>
          <w:top w:val="single" w:sz="8" w:space="0" w:color="C00000"/>
          <w:left w:val="nil"/>
          <w:bottom w:val="single" w:sz="8" w:space="0" w:color="C00000"/>
          <w:right w:val="nil"/>
          <w:insideH w:val="nil"/>
          <w:insideV w:val="nil"/>
          <w:tl2br w:val="nil"/>
          <w:tr2bl w:val="nil"/>
        </w:tcBorders>
        <w:shd w:val="clear" w:color="auto" w:fill="FFFFFF"/>
      </w:tcPr>
    </w:tblStylePr>
    <w:tblStylePr w:type="lastRow">
      <w:rPr>
        <w:rFonts w:cs="Arial"/>
        <w:b/>
      </w:rPr>
      <w:tblPr/>
      <w:tcPr>
        <w:tcBorders>
          <w:top w:val="single" w:sz="8" w:space="0" w:color="auto"/>
          <w:left w:val="nil"/>
          <w:bottom w:val="single" w:sz="8" w:space="0" w:color="auto"/>
          <w:right w:val="nil"/>
          <w:insideH w:val="nil"/>
          <w:insideV w:val="nil"/>
          <w:tl2br w:val="nil"/>
          <w:tr2bl w:val="nil"/>
        </w:tcBorders>
        <w:shd w:val="clear" w:color="auto" w:fill="FFFFFF"/>
      </w:tcPr>
    </w:tblStylePr>
    <w:tblStylePr w:type="band1Horz">
      <w:rPr>
        <w:rFonts w:cs="Arial"/>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2F2F2"/>
      </w:tcPr>
    </w:tblStylePr>
    <w:tblStylePr w:type="band2Horz">
      <w:rPr>
        <w:rFonts w:cs="Arial"/>
      </w:rPr>
      <w:tblPr/>
      <w:tcPr>
        <w:tcBorders>
          <w:top w:val="nil"/>
          <w:left w:val="nil"/>
          <w:bottom w:val="nil"/>
          <w:right w:val="nil"/>
          <w:insideH w:val="nil"/>
          <w:insideV w:val="nil"/>
        </w:tcBorders>
        <w:shd w:val="clear" w:color="auto" w:fill="FFFFFF"/>
      </w:tcPr>
    </w:tblStylePr>
  </w:style>
  <w:style w:type="paragraph" w:styleId="BodyText3">
    <w:name w:val="Body Text 3"/>
    <w:basedOn w:val="Normal"/>
    <w:link w:val="BodyText3Char1"/>
    <w:uiPriority w:val="99"/>
    <w:rsid w:val="00A04E07"/>
    <w:pPr>
      <w:spacing w:after="120"/>
    </w:pPr>
    <w:rPr>
      <w:rFonts w:ascii="Times New Roman" w:hAnsi="Times New Roman" w:cs="Times New Roman"/>
      <w:sz w:val="16"/>
      <w:szCs w:val="20"/>
      <w:lang w:eastAsia="ja-JP"/>
    </w:rPr>
  </w:style>
  <w:style w:type="character" w:customStyle="1" w:styleId="BodyText3Char">
    <w:name w:val="Body Text 3 Char"/>
    <w:basedOn w:val="DefaultParagraphFont"/>
    <w:uiPriority w:val="99"/>
    <w:semiHidden/>
    <w:rsid w:val="00A04E07"/>
    <w:rPr>
      <w:rFonts w:ascii="Calibri" w:hAnsi="Calibri" w:cs="Calibri"/>
      <w:sz w:val="16"/>
      <w:szCs w:val="16"/>
      <w:lang w:eastAsia="en-US"/>
    </w:rPr>
  </w:style>
  <w:style w:type="character" w:customStyle="1" w:styleId="BodyText3Char1">
    <w:name w:val="Body Text 3 Char1"/>
    <w:link w:val="BodyText3"/>
    <w:uiPriority w:val="99"/>
    <w:locked/>
    <w:rsid w:val="00A04E07"/>
    <w:rPr>
      <w:rFonts w:ascii="Times New Roman" w:hAnsi="Times New Roman"/>
      <w:sz w:val="16"/>
    </w:rPr>
  </w:style>
  <w:style w:type="character" w:customStyle="1" w:styleId="ListParagraphChar">
    <w:name w:val="List Paragraph Char"/>
    <w:basedOn w:val="DefaultParagraphFont"/>
    <w:link w:val="ListParagraph"/>
    <w:uiPriority w:val="99"/>
    <w:locked/>
    <w:rsid w:val="00A04E07"/>
    <w:rPr>
      <w:rFonts w:ascii="Calibri" w:hAnsi="Calibri" w:cs="Calibri"/>
      <w:sz w:val="22"/>
      <w:szCs w:val="22"/>
      <w:lang w:eastAsia="en-US"/>
    </w:rPr>
  </w:style>
  <w:style w:type="character" w:styleId="FootnoteReference">
    <w:name w:val="footnote reference"/>
    <w:basedOn w:val="DefaultParagraphFont"/>
    <w:uiPriority w:val="99"/>
    <w:semiHidden/>
    <w:rsid w:val="00A04E07"/>
    <w:rPr>
      <w:rFonts w:cs="Times New Roman"/>
      <w:vertAlign w:val="superscript"/>
    </w:rPr>
  </w:style>
  <w:style w:type="paragraph" w:styleId="FootnoteText">
    <w:name w:val="footnote text"/>
    <w:basedOn w:val="Normal"/>
    <w:link w:val="FootnoteTextChar"/>
    <w:uiPriority w:val="99"/>
    <w:rsid w:val="00A04E07"/>
    <w:pPr>
      <w:spacing w:after="0"/>
    </w:pPr>
    <w:rPr>
      <w:rFonts w:cs="Times New Roman"/>
      <w:sz w:val="20"/>
      <w:szCs w:val="20"/>
      <w:lang w:eastAsia="en-AU"/>
    </w:rPr>
  </w:style>
  <w:style w:type="character" w:customStyle="1" w:styleId="FootnoteTextChar">
    <w:name w:val="Footnote Text Char"/>
    <w:basedOn w:val="DefaultParagraphFont"/>
    <w:link w:val="FootnoteText"/>
    <w:uiPriority w:val="99"/>
    <w:locked/>
    <w:rsid w:val="00A04E07"/>
    <w:rPr>
      <w:rFonts w:ascii="Calibri" w:eastAsia="Times New Roman" w:hAnsi="Calibri" w:cs="Times New Roman"/>
    </w:rPr>
  </w:style>
  <w:style w:type="table" w:styleId="MediumShading2-Accent1">
    <w:name w:val="Medium Shading 2 Accent 1"/>
    <w:basedOn w:val="TableNormal"/>
    <w:uiPriority w:val="99"/>
    <w:rsid w:val="00AE0E24"/>
    <w:rPr>
      <w:rFonts w:ascii="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iPriority w:val="99"/>
    <w:semiHidden/>
    <w:rsid w:val="00895AB2"/>
    <w:rPr>
      <w:rFonts w:cs="Times New Roman"/>
      <w:sz w:val="16"/>
      <w:szCs w:val="16"/>
    </w:rPr>
  </w:style>
  <w:style w:type="paragraph" w:styleId="CommentText">
    <w:name w:val="annotation text"/>
    <w:basedOn w:val="Normal"/>
    <w:link w:val="CommentTextChar"/>
    <w:uiPriority w:val="99"/>
    <w:semiHidden/>
    <w:rsid w:val="00895AB2"/>
    <w:rPr>
      <w:sz w:val="20"/>
      <w:szCs w:val="20"/>
    </w:rPr>
  </w:style>
  <w:style w:type="character" w:customStyle="1" w:styleId="CommentTextChar">
    <w:name w:val="Comment Text Char"/>
    <w:basedOn w:val="DefaultParagraphFont"/>
    <w:link w:val="CommentText"/>
    <w:uiPriority w:val="99"/>
    <w:semiHidden/>
    <w:locked/>
    <w:rsid w:val="00895AB2"/>
    <w:rPr>
      <w:rFonts w:ascii="Calibri" w:hAnsi="Calibri" w:cs="Calibri"/>
      <w:lang w:eastAsia="en-US"/>
    </w:rPr>
  </w:style>
  <w:style w:type="paragraph" w:styleId="CommentSubject">
    <w:name w:val="annotation subject"/>
    <w:basedOn w:val="CommentText"/>
    <w:next w:val="CommentText"/>
    <w:link w:val="CommentSubjectChar"/>
    <w:uiPriority w:val="99"/>
    <w:semiHidden/>
    <w:rsid w:val="00895AB2"/>
    <w:rPr>
      <w:b/>
      <w:bCs/>
    </w:rPr>
  </w:style>
  <w:style w:type="character" w:customStyle="1" w:styleId="CommentSubjectChar">
    <w:name w:val="Comment Subject Char"/>
    <w:basedOn w:val="CommentTextChar"/>
    <w:link w:val="CommentSubject"/>
    <w:uiPriority w:val="99"/>
    <w:semiHidden/>
    <w:locked/>
    <w:rsid w:val="00895AB2"/>
    <w:rPr>
      <w:rFonts w:ascii="Calibri" w:hAnsi="Calibri" w:cs="Calibri"/>
      <w:b/>
      <w:bCs/>
      <w:lang w:eastAsia="en-US"/>
    </w:rPr>
  </w:style>
  <w:style w:type="paragraph" w:styleId="Revision">
    <w:name w:val="Revision"/>
    <w:hidden/>
    <w:uiPriority w:val="99"/>
    <w:semiHidden/>
    <w:rsid w:val="00192571"/>
    <w:rPr>
      <w:rFonts w:ascii="Calibri" w:hAnsi="Calibri" w:cs="Calibri"/>
      <w:lang w:eastAsia="en-US"/>
    </w:rPr>
  </w:style>
  <w:style w:type="character" w:styleId="FollowedHyperlink">
    <w:name w:val="FollowedHyperlink"/>
    <w:basedOn w:val="DefaultParagraphFont"/>
    <w:uiPriority w:val="99"/>
    <w:semiHidden/>
    <w:rsid w:val="00247D8B"/>
    <w:rPr>
      <w:rFonts w:cs="Times New Roman"/>
      <w:color w:val="800080"/>
      <w:u w:val="single"/>
    </w:rPr>
  </w:style>
  <w:style w:type="paragraph" w:customStyle="1" w:styleId="acthead5">
    <w:name w:val="acthead5"/>
    <w:basedOn w:val="Normal"/>
    <w:uiPriority w:val="99"/>
    <w:rsid w:val="002F4F9E"/>
    <w:pPr>
      <w:spacing w:before="100" w:beforeAutospacing="1" w:after="100" w:afterAutospacing="1"/>
    </w:pPr>
    <w:rPr>
      <w:rFonts w:ascii="Times New Roman" w:hAnsi="Times New Roman" w:cs="Times New Roman"/>
      <w:sz w:val="24"/>
      <w:szCs w:val="24"/>
      <w:lang w:eastAsia="en-AU"/>
    </w:rPr>
  </w:style>
  <w:style w:type="character" w:customStyle="1" w:styleId="charsectno">
    <w:name w:val="charsectno"/>
    <w:basedOn w:val="DefaultParagraphFont"/>
    <w:uiPriority w:val="99"/>
    <w:rsid w:val="002F4F9E"/>
    <w:rPr>
      <w:rFonts w:cs="Times New Roman"/>
    </w:rPr>
  </w:style>
  <w:style w:type="paragraph" w:customStyle="1" w:styleId="subsection">
    <w:name w:val="subsection"/>
    <w:basedOn w:val="Normal"/>
    <w:uiPriority w:val="99"/>
    <w:rsid w:val="002F4F9E"/>
    <w:pPr>
      <w:spacing w:before="100" w:beforeAutospacing="1" w:after="100" w:afterAutospacing="1"/>
    </w:pPr>
    <w:rPr>
      <w:rFonts w:ascii="Times New Roman" w:hAnsi="Times New Roman" w:cs="Times New Roman"/>
      <w:sz w:val="24"/>
      <w:szCs w:val="24"/>
      <w:lang w:eastAsia="en-AU"/>
    </w:rPr>
  </w:style>
  <w:style w:type="paragraph" w:customStyle="1" w:styleId="paragraph">
    <w:name w:val="paragraph"/>
    <w:basedOn w:val="Normal"/>
    <w:uiPriority w:val="99"/>
    <w:rsid w:val="002F4F9E"/>
    <w:pPr>
      <w:spacing w:before="100" w:beforeAutospacing="1" w:after="100" w:afterAutospacing="1"/>
    </w:pPr>
    <w:rPr>
      <w:rFonts w:ascii="Times New Roman" w:hAnsi="Times New Roman" w:cs="Times New Roman"/>
      <w:sz w:val="24"/>
      <w:szCs w:val="24"/>
      <w:lang w:eastAsia="en-AU"/>
    </w:rPr>
  </w:style>
  <w:style w:type="paragraph" w:customStyle="1" w:styleId="paragraphsub">
    <w:name w:val="paragraphsub"/>
    <w:basedOn w:val="Normal"/>
    <w:uiPriority w:val="99"/>
    <w:rsid w:val="002F4F9E"/>
    <w:pPr>
      <w:spacing w:before="100" w:beforeAutospacing="1" w:after="100" w:afterAutospacing="1"/>
    </w:pPr>
    <w:rPr>
      <w:rFonts w:ascii="Times New Roman" w:hAnsi="Times New Roman" w:cs="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Dotum" w:hAnsi="Arial" w:cs="Arial"/>
        <w:sz w:val="22"/>
        <w:szCs w:val="22"/>
        <w:lang w:val="en-AU" w:eastAsia="en-A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A8044C"/>
    <w:pPr>
      <w:spacing w:after="200"/>
    </w:pPr>
    <w:rPr>
      <w:rFonts w:ascii="Calibri" w:hAnsi="Calibri" w:cs="Calibri"/>
      <w:lang w:eastAsia="en-US"/>
    </w:rPr>
  </w:style>
  <w:style w:type="paragraph" w:styleId="Heading1">
    <w:name w:val="heading 1"/>
    <w:basedOn w:val="Normal"/>
    <w:next w:val="Normal"/>
    <w:link w:val="Heading1Char"/>
    <w:uiPriority w:val="99"/>
    <w:qFormat/>
    <w:rsid w:val="00891D94"/>
    <w:pPr>
      <w:pageBreakBefore/>
      <w:widowControl w:val="0"/>
      <w:pBdr>
        <w:top w:val="single" w:sz="48" w:space="1" w:color="C00000"/>
        <w:left w:val="single" w:sz="48" w:space="4" w:color="C00000"/>
        <w:bottom w:val="single" w:sz="48" w:space="1" w:color="C00000"/>
        <w:right w:val="single" w:sz="48" w:space="4" w:color="C00000"/>
      </w:pBdr>
      <w:shd w:val="clear" w:color="auto" w:fill="C00000"/>
      <w:spacing w:before="480" w:after="240"/>
      <w:ind w:right="476"/>
      <w:outlineLvl w:val="0"/>
    </w:pPr>
    <w:rPr>
      <w:rFonts w:eastAsia="HYGothic-Extra" w:cs="Times New Roman"/>
      <w:bCs/>
      <w:color w:val="FFFFFF"/>
      <w:spacing w:val="-20"/>
      <w:sz w:val="60"/>
      <w:szCs w:val="60"/>
    </w:rPr>
  </w:style>
  <w:style w:type="paragraph" w:styleId="Heading2">
    <w:name w:val="heading 2"/>
    <w:basedOn w:val="Normal"/>
    <w:next w:val="Normal"/>
    <w:link w:val="Heading2Char"/>
    <w:uiPriority w:val="99"/>
    <w:qFormat/>
    <w:rsid w:val="00324F80"/>
    <w:pPr>
      <w:spacing w:before="360" w:after="120"/>
      <w:outlineLvl w:val="1"/>
    </w:pPr>
    <w:rPr>
      <w:rFonts w:ascii="Arial" w:hAnsi="Arial" w:cs="Times New Roman"/>
      <w:caps/>
      <w:sz w:val="32"/>
      <w:szCs w:val="32"/>
    </w:rPr>
  </w:style>
  <w:style w:type="paragraph" w:styleId="Heading3">
    <w:name w:val="heading 3"/>
    <w:basedOn w:val="Normal"/>
    <w:next w:val="Normal"/>
    <w:link w:val="Heading3Char"/>
    <w:uiPriority w:val="99"/>
    <w:qFormat/>
    <w:rsid w:val="00A04E07"/>
    <w:pPr>
      <w:spacing w:before="60" w:after="0"/>
      <w:outlineLvl w:val="2"/>
    </w:pPr>
    <w:rPr>
      <w:rFonts w:eastAsia="HYGothic-Extra" w:cs="Times New Roman"/>
      <w:b/>
      <w:bCs/>
      <w:caps/>
      <w:color w:val="D1282E"/>
      <w:sz w:val="28"/>
      <w:szCs w:val="28"/>
    </w:rPr>
  </w:style>
  <w:style w:type="paragraph" w:styleId="Heading4">
    <w:name w:val="heading 4"/>
    <w:basedOn w:val="Normal"/>
    <w:next w:val="Normal"/>
    <w:link w:val="Heading4Char"/>
    <w:uiPriority w:val="99"/>
    <w:qFormat/>
    <w:rsid w:val="009D5529"/>
    <w:pPr>
      <w:keepNext/>
      <w:keepLines/>
      <w:spacing w:before="200" w:after="0"/>
      <w:outlineLvl w:val="3"/>
    </w:pPr>
    <w:rPr>
      <w:rFonts w:ascii="Arial Black" w:eastAsia="HYGothic-Extra" w:hAnsi="Arial Black" w:cs="Times New Roman"/>
      <w:bCs/>
      <w:i/>
      <w:iCs/>
      <w:color w:val="7A7A7A"/>
      <w:sz w:val="20"/>
      <w:szCs w:val="20"/>
      <w:lang w:eastAsia="ja-JP"/>
    </w:rPr>
  </w:style>
  <w:style w:type="paragraph" w:styleId="Heading5">
    <w:name w:val="heading 5"/>
    <w:basedOn w:val="Normal"/>
    <w:next w:val="Normal"/>
    <w:link w:val="Heading5Char"/>
    <w:uiPriority w:val="99"/>
    <w:qFormat/>
    <w:rsid w:val="009D5529"/>
    <w:pPr>
      <w:keepNext/>
      <w:keepLines/>
      <w:spacing w:before="200" w:after="0"/>
      <w:outlineLvl w:val="4"/>
    </w:pPr>
    <w:rPr>
      <w:rFonts w:ascii="Arial" w:eastAsia="HYGothic-Extra" w:hAnsi="Arial" w:cs="Times New Roman"/>
      <w:b/>
      <w:color w:val="5B5B5B"/>
      <w:sz w:val="20"/>
      <w:szCs w:val="20"/>
      <w:lang w:eastAsia="ja-JP"/>
    </w:rPr>
  </w:style>
  <w:style w:type="paragraph" w:styleId="Heading6">
    <w:name w:val="heading 6"/>
    <w:basedOn w:val="Normal"/>
    <w:next w:val="Normal"/>
    <w:link w:val="Heading6Char"/>
    <w:uiPriority w:val="99"/>
    <w:qFormat/>
    <w:rsid w:val="009D5529"/>
    <w:pPr>
      <w:keepNext/>
      <w:keepLines/>
      <w:spacing w:before="200" w:after="0"/>
      <w:outlineLvl w:val="5"/>
    </w:pPr>
    <w:rPr>
      <w:rFonts w:ascii="Arial Black" w:eastAsia="HYGothic-Extra" w:hAnsi="Arial Black" w:cs="Times New Roman"/>
      <w:i/>
      <w:iCs/>
      <w:color w:val="5B5B5B"/>
      <w:sz w:val="20"/>
      <w:szCs w:val="20"/>
      <w:lang w:eastAsia="ja-JP"/>
    </w:rPr>
  </w:style>
  <w:style w:type="paragraph" w:styleId="Heading7">
    <w:name w:val="heading 7"/>
    <w:basedOn w:val="Normal"/>
    <w:next w:val="Normal"/>
    <w:link w:val="Heading7Char"/>
    <w:uiPriority w:val="99"/>
    <w:qFormat/>
    <w:rsid w:val="009D5529"/>
    <w:pPr>
      <w:keepNext/>
      <w:keepLines/>
      <w:spacing w:before="200" w:after="0"/>
      <w:outlineLvl w:val="6"/>
    </w:pPr>
    <w:rPr>
      <w:rFonts w:ascii="Arial" w:eastAsia="HYGothic-Extra" w:hAnsi="Arial" w:cs="Times New Roman"/>
      <w:b/>
      <w:iCs/>
      <w:color w:val="D1282E"/>
      <w:sz w:val="20"/>
      <w:szCs w:val="20"/>
      <w:lang w:eastAsia="ja-JP"/>
    </w:rPr>
  </w:style>
  <w:style w:type="paragraph" w:styleId="Heading8">
    <w:name w:val="heading 8"/>
    <w:basedOn w:val="Normal"/>
    <w:next w:val="Normal"/>
    <w:link w:val="Heading8Char"/>
    <w:uiPriority w:val="99"/>
    <w:qFormat/>
    <w:rsid w:val="009D5529"/>
    <w:pPr>
      <w:keepNext/>
      <w:keepLines/>
      <w:spacing w:before="200" w:after="0"/>
      <w:outlineLvl w:val="7"/>
    </w:pPr>
    <w:rPr>
      <w:rFonts w:ascii="Arial Black" w:eastAsia="HYGothic-Extra" w:hAnsi="Arial Black" w:cs="Times New Roman"/>
      <w:color w:val="7A7A7A"/>
      <w:sz w:val="20"/>
      <w:szCs w:val="20"/>
      <w:lang w:eastAsia="ja-JP"/>
    </w:rPr>
  </w:style>
  <w:style w:type="paragraph" w:styleId="Heading9">
    <w:name w:val="heading 9"/>
    <w:basedOn w:val="Normal"/>
    <w:next w:val="Normal"/>
    <w:link w:val="Heading9Char"/>
    <w:uiPriority w:val="99"/>
    <w:qFormat/>
    <w:rsid w:val="009D5529"/>
    <w:pPr>
      <w:keepNext/>
      <w:keepLines/>
      <w:spacing w:before="200" w:after="0"/>
      <w:outlineLvl w:val="8"/>
    </w:pPr>
    <w:rPr>
      <w:rFonts w:ascii="Arial Black" w:eastAsia="HYGothic-Extra" w:hAnsi="Arial Black" w:cs="Times New Roman"/>
      <w:i/>
      <w:iCs/>
      <w:color w:val="5B5B5B"/>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91D94"/>
    <w:rPr>
      <w:rFonts w:ascii="Calibri" w:eastAsia="HYGothic-Extra" w:hAnsi="Calibri"/>
      <w:color w:val="FFFFFF"/>
      <w:spacing w:val="-20"/>
      <w:sz w:val="60"/>
      <w:shd w:val="clear" w:color="auto" w:fill="C00000"/>
      <w:lang w:eastAsia="en-US"/>
    </w:rPr>
  </w:style>
  <w:style w:type="character" w:customStyle="1" w:styleId="Heading2Char">
    <w:name w:val="Heading 2 Char"/>
    <w:basedOn w:val="DefaultParagraphFont"/>
    <w:link w:val="Heading2"/>
    <w:uiPriority w:val="99"/>
    <w:locked/>
    <w:rsid w:val="00324F80"/>
    <w:rPr>
      <w:caps/>
      <w:sz w:val="32"/>
      <w:lang w:eastAsia="en-US"/>
    </w:rPr>
  </w:style>
  <w:style w:type="character" w:customStyle="1" w:styleId="Heading3Char">
    <w:name w:val="Heading 3 Char"/>
    <w:basedOn w:val="DefaultParagraphFont"/>
    <w:link w:val="Heading3"/>
    <w:uiPriority w:val="99"/>
    <w:locked/>
    <w:rsid w:val="00A04E07"/>
    <w:rPr>
      <w:rFonts w:ascii="Calibri" w:eastAsia="HYGothic-Extra" w:hAnsi="Calibri"/>
      <w:b/>
      <w:caps/>
      <w:color w:val="D1282E"/>
      <w:sz w:val="28"/>
      <w:lang w:eastAsia="en-US"/>
    </w:rPr>
  </w:style>
  <w:style w:type="character" w:customStyle="1" w:styleId="Heading4Char">
    <w:name w:val="Heading 4 Char"/>
    <w:basedOn w:val="DefaultParagraphFont"/>
    <w:link w:val="Heading4"/>
    <w:uiPriority w:val="99"/>
    <w:locked/>
    <w:rsid w:val="009D5529"/>
    <w:rPr>
      <w:rFonts w:ascii="Arial Black" w:eastAsia="HYGothic-Extra" w:hAnsi="Arial Black"/>
      <w:i/>
      <w:color w:val="7A7A7A"/>
    </w:rPr>
  </w:style>
  <w:style w:type="character" w:customStyle="1" w:styleId="Heading5Char">
    <w:name w:val="Heading 5 Char"/>
    <w:basedOn w:val="DefaultParagraphFont"/>
    <w:link w:val="Heading5"/>
    <w:uiPriority w:val="99"/>
    <w:semiHidden/>
    <w:locked/>
    <w:rsid w:val="009D5529"/>
    <w:rPr>
      <w:rFonts w:eastAsia="HYGothic-Extra"/>
      <w:b/>
      <w:color w:val="5B5B5B"/>
    </w:rPr>
  </w:style>
  <w:style w:type="character" w:customStyle="1" w:styleId="Heading6Char">
    <w:name w:val="Heading 6 Char"/>
    <w:basedOn w:val="DefaultParagraphFont"/>
    <w:link w:val="Heading6"/>
    <w:uiPriority w:val="99"/>
    <w:semiHidden/>
    <w:locked/>
    <w:rsid w:val="009D5529"/>
    <w:rPr>
      <w:rFonts w:ascii="Arial Black" w:eastAsia="HYGothic-Extra" w:hAnsi="Arial Black"/>
      <w:i/>
      <w:color w:val="5B5B5B"/>
    </w:rPr>
  </w:style>
  <w:style w:type="character" w:customStyle="1" w:styleId="Heading7Char">
    <w:name w:val="Heading 7 Char"/>
    <w:basedOn w:val="DefaultParagraphFont"/>
    <w:link w:val="Heading7"/>
    <w:uiPriority w:val="99"/>
    <w:semiHidden/>
    <w:locked/>
    <w:rsid w:val="009D5529"/>
    <w:rPr>
      <w:rFonts w:eastAsia="HYGothic-Extra"/>
      <w:b/>
      <w:color w:val="D1282E"/>
    </w:rPr>
  </w:style>
  <w:style w:type="character" w:customStyle="1" w:styleId="Heading8Char">
    <w:name w:val="Heading 8 Char"/>
    <w:basedOn w:val="DefaultParagraphFont"/>
    <w:link w:val="Heading8"/>
    <w:uiPriority w:val="99"/>
    <w:semiHidden/>
    <w:locked/>
    <w:rsid w:val="009D5529"/>
    <w:rPr>
      <w:rFonts w:ascii="Arial Black" w:eastAsia="HYGothic-Extra" w:hAnsi="Arial Black"/>
      <w:color w:val="7A7A7A"/>
      <w:sz w:val="20"/>
    </w:rPr>
  </w:style>
  <w:style w:type="character" w:customStyle="1" w:styleId="Heading9Char">
    <w:name w:val="Heading 9 Char"/>
    <w:basedOn w:val="DefaultParagraphFont"/>
    <w:link w:val="Heading9"/>
    <w:uiPriority w:val="99"/>
    <w:semiHidden/>
    <w:locked/>
    <w:rsid w:val="009D5529"/>
    <w:rPr>
      <w:rFonts w:ascii="Arial Black" w:eastAsia="HYGothic-Extra" w:hAnsi="Arial Black"/>
      <w:i/>
      <w:color w:val="5B5B5B"/>
      <w:sz w:val="20"/>
    </w:rPr>
  </w:style>
  <w:style w:type="paragraph" w:styleId="Caption">
    <w:name w:val="caption"/>
    <w:basedOn w:val="Normal"/>
    <w:next w:val="Normal"/>
    <w:uiPriority w:val="99"/>
    <w:qFormat/>
    <w:rsid w:val="009D5529"/>
    <w:rPr>
      <w:bCs/>
      <w:caps/>
      <w:color w:val="7A7A7A"/>
      <w:sz w:val="18"/>
      <w:szCs w:val="18"/>
    </w:rPr>
  </w:style>
  <w:style w:type="paragraph" w:styleId="Title">
    <w:name w:val="Title"/>
    <w:basedOn w:val="Normal"/>
    <w:next w:val="Normal"/>
    <w:link w:val="TitleChar"/>
    <w:uiPriority w:val="99"/>
    <w:qFormat/>
    <w:rsid w:val="00F03972"/>
    <w:pPr>
      <w:spacing w:before="360" w:after="60"/>
      <w:contextualSpacing/>
    </w:pPr>
    <w:rPr>
      <w:rFonts w:eastAsia="HYGothic-Extra" w:cs="Times New Roman"/>
      <w:b/>
      <w:caps/>
      <w:color w:val="005374"/>
      <w:spacing w:val="-20"/>
      <w:kern w:val="28"/>
      <w:sz w:val="60"/>
      <w:szCs w:val="60"/>
    </w:rPr>
  </w:style>
  <w:style w:type="character" w:customStyle="1" w:styleId="TitleChar">
    <w:name w:val="Title Char"/>
    <w:basedOn w:val="DefaultParagraphFont"/>
    <w:link w:val="Title"/>
    <w:uiPriority w:val="99"/>
    <w:locked/>
    <w:rsid w:val="00F03972"/>
    <w:rPr>
      <w:rFonts w:ascii="Calibri" w:eastAsia="HYGothic-Extra" w:hAnsi="Calibri"/>
      <w:b/>
      <w:caps/>
      <w:color w:val="005374"/>
      <w:spacing w:val="-20"/>
      <w:kern w:val="28"/>
      <w:sz w:val="60"/>
      <w:lang w:eastAsia="en-US"/>
    </w:rPr>
  </w:style>
  <w:style w:type="paragraph" w:styleId="Subtitle">
    <w:name w:val="Subtitle"/>
    <w:basedOn w:val="Normal"/>
    <w:next w:val="Normal"/>
    <w:link w:val="SubtitleChar"/>
    <w:uiPriority w:val="99"/>
    <w:qFormat/>
    <w:rsid w:val="009960EE"/>
    <w:pPr>
      <w:numPr>
        <w:ilvl w:val="1"/>
      </w:numPr>
    </w:pPr>
    <w:rPr>
      <w:rFonts w:eastAsia="HYGothic-Extra" w:cs="Times New Roman"/>
      <w:b/>
      <w:bCs/>
      <w:iCs/>
      <w:color w:val="D1282E"/>
      <w:sz w:val="40"/>
      <w:szCs w:val="40"/>
      <w:lang w:val="en-US"/>
    </w:rPr>
  </w:style>
  <w:style w:type="character" w:customStyle="1" w:styleId="SubtitleChar">
    <w:name w:val="Subtitle Char"/>
    <w:basedOn w:val="DefaultParagraphFont"/>
    <w:link w:val="Subtitle"/>
    <w:uiPriority w:val="99"/>
    <w:locked/>
    <w:rsid w:val="009960EE"/>
    <w:rPr>
      <w:rFonts w:ascii="Calibri" w:eastAsia="HYGothic-Extra" w:hAnsi="Calibri"/>
      <w:b/>
      <w:color w:val="D1282E"/>
      <w:sz w:val="40"/>
      <w:lang w:val="en-US" w:eastAsia="en-US"/>
    </w:rPr>
  </w:style>
  <w:style w:type="character" w:styleId="Strong">
    <w:name w:val="Strong"/>
    <w:basedOn w:val="DefaultParagraphFont"/>
    <w:uiPriority w:val="99"/>
    <w:qFormat/>
    <w:rsid w:val="009D5529"/>
    <w:rPr>
      <w:rFonts w:cs="Times New Roman"/>
      <w:b/>
    </w:rPr>
  </w:style>
  <w:style w:type="character" w:styleId="Emphasis">
    <w:name w:val="Emphasis"/>
    <w:basedOn w:val="DefaultParagraphFont"/>
    <w:uiPriority w:val="99"/>
    <w:qFormat/>
    <w:rsid w:val="009D5529"/>
    <w:rPr>
      <w:rFonts w:cs="Times New Roman"/>
      <w:i/>
    </w:rPr>
  </w:style>
  <w:style w:type="paragraph" w:styleId="NoSpacing">
    <w:name w:val="No Spacing"/>
    <w:link w:val="NoSpacingChar"/>
    <w:uiPriority w:val="99"/>
    <w:qFormat/>
    <w:rsid w:val="004C7DF0"/>
    <w:rPr>
      <w:rFonts w:ascii="Calibri" w:hAnsi="Calibri" w:cs="Calibri"/>
      <w:lang w:val="en-US" w:eastAsia="en-US"/>
    </w:rPr>
  </w:style>
  <w:style w:type="character" w:customStyle="1" w:styleId="NoSpacingChar">
    <w:name w:val="No Spacing Char"/>
    <w:basedOn w:val="DefaultParagraphFont"/>
    <w:link w:val="NoSpacing"/>
    <w:uiPriority w:val="99"/>
    <w:locked/>
    <w:rsid w:val="004C7DF0"/>
    <w:rPr>
      <w:rFonts w:ascii="Calibri" w:hAnsi="Calibri" w:cs="Calibri"/>
      <w:sz w:val="22"/>
      <w:szCs w:val="22"/>
      <w:lang w:val="en-US" w:eastAsia="en-US" w:bidi="ar-SA"/>
    </w:rPr>
  </w:style>
  <w:style w:type="paragraph" w:styleId="ListParagraph">
    <w:name w:val="List Paragraph"/>
    <w:basedOn w:val="Normal"/>
    <w:link w:val="ListParagraphChar"/>
    <w:uiPriority w:val="99"/>
    <w:qFormat/>
    <w:rsid w:val="009D5529"/>
    <w:pPr>
      <w:ind w:left="720"/>
      <w:contextualSpacing/>
    </w:pPr>
  </w:style>
  <w:style w:type="paragraph" w:styleId="Quote">
    <w:name w:val="Quote"/>
    <w:basedOn w:val="Normal"/>
    <w:next w:val="Normal"/>
    <w:link w:val="QuoteChar"/>
    <w:uiPriority w:val="99"/>
    <w:qFormat/>
    <w:rsid w:val="009D5529"/>
    <w:pPr>
      <w:spacing w:line="360" w:lineRule="auto"/>
    </w:pPr>
    <w:rPr>
      <w:rFonts w:ascii="Arial" w:hAnsi="Arial" w:cs="Times New Roman"/>
      <w:i/>
      <w:iCs/>
      <w:color w:val="7A7A7A"/>
      <w:sz w:val="28"/>
      <w:szCs w:val="20"/>
      <w:lang w:eastAsia="ja-JP"/>
    </w:rPr>
  </w:style>
  <w:style w:type="character" w:customStyle="1" w:styleId="QuoteChar">
    <w:name w:val="Quote Char"/>
    <w:basedOn w:val="DefaultParagraphFont"/>
    <w:link w:val="Quote"/>
    <w:uiPriority w:val="99"/>
    <w:locked/>
    <w:rsid w:val="009D5529"/>
    <w:rPr>
      <w:i/>
      <w:color w:val="7A7A7A"/>
      <w:sz w:val="28"/>
    </w:rPr>
  </w:style>
  <w:style w:type="paragraph" w:styleId="IntenseQuote">
    <w:name w:val="Intense Quote"/>
    <w:basedOn w:val="Normal"/>
    <w:next w:val="Normal"/>
    <w:link w:val="IntenseQuoteChar"/>
    <w:uiPriority w:val="99"/>
    <w:qFormat/>
    <w:rsid w:val="009D5529"/>
    <w:pPr>
      <w:pBdr>
        <w:top w:val="single" w:sz="36" w:space="5" w:color="000000"/>
        <w:bottom w:val="single" w:sz="18" w:space="5" w:color="D1282E"/>
      </w:pBdr>
      <w:spacing w:before="200" w:after="280" w:line="360" w:lineRule="auto"/>
    </w:pPr>
    <w:rPr>
      <w:rFonts w:ascii="Arial" w:hAnsi="Arial" w:cs="Times New Roman"/>
      <w:b/>
      <w:bCs/>
      <w:i/>
      <w:iCs/>
      <w:color w:val="7F7F7F"/>
      <w:sz w:val="26"/>
      <w:szCs w:val="20"/>
      <w:lang w:eastAsia="ja-JP"/>
    </w:rPr>
  </w:style>
  <w:style w:type="character" w:customStyle="1" w:styleId="IntenseQuoteChar">
    <w:name w:val="Intense Quote Char"/>
    <w:basedOn w:val="DefaultParagraphFont"/>
    <w:link w:val="IntenseQuote"/>
    <w:uiPriority w:val="99"/>
    <w:locked/>
    <w:rsid w:val="009D5529"/>
    <w:rPr>
      <w:b/>
      <w:i/>
      <w:color w:val="7F7F7F"/>
      <w:sz w:val="26"/>
    </w:rPr>
  </w:style>
  <w:style w:type="character" w:styleId="SubtleEmphasis">
    <w:name w:val="Subtle Emphasis"/>
    <w:basedOn w:val="DefaultParagraphFont"/>
    <w:uiPriority w:val="99"/>
    <w:qFormat/>
    <w:rsid w:val="009D5529"/>
    <w:rPr>
      <w:i/>
      <w:color w:val="7A7A7A"/>
    </w:rPr>
  </w:style>
  <w:style w:type="character" w:styleId="IntenseEmphasis">
    <w:name w:val="Intense Emphasis"/>
    <w:basedOn w:val="DefaultParagraphFont"/>
    <w:uiPriority w:val="99"/>
    <w:qFormat/>
    <w:rsid w:val="009D5529"/>
    <w:rPr>
      <w:b/>
      <w:i/>
      <w:color w:val="D1282E"/>
    </w:rPr>
  </w:style>
  <w:style w:type="character" w:styleId="SubtleReference">
    <w:name w:val="Subtle Reference"/>
    <w:basedOn w:val="DefaultParagraphFont"/>
    <w:uiPriority w:val="99"/>
    <w:qFormat/>
    <w:rsid w:val="009D5529"/>
    <w:rPr>
      <w:rFonts w:ascii="Arial" w:hAnsi="Arial"/>
      <w:smallCaps/>
      <w:color w:val="F5C201"/>
      <w:sz w:val="22"/>
      <w:u w:val="none"/>
    </w:rPr>
  </w:style>
  <w:style w:type="character" w:styleId="IntenseReference">
    <w:name w:val="Intense Reference"/>
    <w:basedOn w:val="DefaultParagraphFont"/>
    <w:uiPriority w:val="99"/>
    <w:qFormat/>
    <w:rsid w:val="009D5529"/>
    <w:rPr>
      <w:rFonts w:ascii="Arial" w:hAnsi="Arial"/>
      <w:b/>
      <w:caps/>
      <w:color w:val="F5C201"/>
      <w:spacing w:val="5"/>
      <w:sz w:val="22"/>
      <w:u w:val="single"/>
    </w:rPr>
  </w:style>
  <w:style w:type="character" w:styleId="BookTitle">
    <w:name w:val="Book Title"/>
    <w:basedOn w:val="DefaultParagraphFont"/>
    <w:uiPriority w:val="99"/>
    <w:qFormat/>
    <w:rsid w:val="009D5529"/>
    <w:rPr>
      <w:rFonts w:ascii="Arial" w:hAnsi="Arial"/>
      <w:b/>
      <w:caps/>
      <w:color w:val="3D3D3D"/>
      <w:spacing w:val="5"/>
      <w:sz w:val="22"/>
    </w:rPr>
  </w:style>
  <w:style w:type="paragraph" w:styleId="TOCHeading">
    <w:name w:val="TOC Heading"/>
    <w:basedOn w:val="Heading1"/>
    <w:next w:val="Normal"/>
    <w:uiPriority w:val="99"/>
    <w:qFormat/>
    <w:rsid w:val="009D5529"/>
    <w:pPr>
      <w:outlineLvl w:val="9"/>
    </w:pPr>
  </w:style>
  <w:style w:type="paragraph" w:styleId="BalloonText">
    <w:name w:val="Balloon Text"/>
    <w:basedOn w:val="Normal"/>
    <w:link w:val="BalloonTextChar"/>
    <w:uiPriority w:val="99"/>
    <w:semiHidden/>
    <w:rsid w:val="009D5529"/>
    <w:pPr>
      <w:spacing w:after="0"/>
    </w:pPr>
    <w:rPr>
      <w:rFonts w:ascii="Tahoma" w:hAnsi="Tahoma" w:cs="Times New Roman"/>
      <w:sz w:val="16"/>
      <w:szCs w:val="16"/>
      <w:lang w:eastAsia="ja-JP"/>
    </w:rPr>
  </w:style>
  <w:style w:type="character" w:customStyle="1" w:styleId="BalloonTextChar">
    <w:name w:val="Balloon Text Char"/>
    <w:basedOn w:val="DefaultParagraphFont"/>
    <w:link w:val="BalloonText"/>
    <w:uiPriority w:val="99"/>
    <w:semiHidden/>
    <w:locked/>
    <w:rsid w:val="009D5529"/>
    <w:rPr>
      <w:rFonts w:ascii="Tahoma" w:hAnsi="Tahoma"/>
      <w:sz w:val="16"/>
    </w:rPr>
  </w:style>
  <w:style w:type="character" w:styleId="PlaceholderText">
    <w:name w:val="Placeholder Text"/>
    <w:basedOn w:val="DefaultParagraphFont"/>
    <w:uiPriority w:val="99"/>
    <w:rsid w:val="009D5529"/>
    <w:rPr>
      <w:color w:val="808080"/>
    </w:rPr>
  </w:style>
  <w:style w:type="paragraph" w:styleId="Header">
    <w:name w:val="header"/>
    <w:basedOn w:val="Normal"/>
    <w:link w:val="HeaderChar"/>
    <w:uiPriority w:val="99"/>
    <w:rsid w:val="009D5529"/>
    <w:pPr>
      <w:tabs>
        <w:tab w:val="center" w:pos="4680"/>
        <w:tab w:val="right" w:pos="9360"/>
      </w:tabs>
      <w:spacing w:after="0"/>
    </w:pPr>
    <w:rPr>
      <w:rFonts w:ascii="Arial" w:hAnsi="Arial" w:cs="Times New Roman"/>
      <w:sz w:val="20"/>
      <w:szCs w:val="20"/>
      <w:lang w:eastAsia="ja-JP"/>
    </w:rPr>
  </w:style>
  <w:style w:type="character" w:customStyle="1" w:styleId="HeaderChar">
    <w:name w:val="Header Char"/>
    <w:basedOn w:val="DefaultParagraphFont"/>
    <w:link w:val="Header"/>
    <w:uiPriority w:val="99"/>
    <w:locked/>
    <w:rsid w:val="009D5529"/>
    <w:rPr>
      <w:lang w:eastAsia="ja-JP"/>
    </w:rPr>
  </w:style>
  <w:style w:type="paragraph" w:styleId="Footer">
    <w:name w:val="footer"/>
    <w:basedOn w:val="Normal"/>
    <w:link w:val="FooterChar"/>
    <w:uiPriority w:val="99"/>
    <w:rsid w:val="009D5529"/>
    <w:pPr>
      <w:tabs>
        <w:tab w:val="center" w:pos="4680"/>
        <w:tab w:val="right" w:pos="9360"/>
      </w:tabs>
      <w:spacing w:after="0"/>
    </w:pPr>
  </w:style>
  <w:style w:type="character" w:customStyle="1" w:styleId="FooterChar">
    <w:name w:val="Footer Char"/>
    <w:basedOn w:val="DefaultParagraphFont"/>
    <w:link w:val="Footer"/>
    <w:uiPriority w:val="99"/>
    <w:locked/>
    <w:rsid w:val="009D5529"/>
    <w:rPr>
      <w:rFonts w:cs="Times New Roman"/>
    </w:rPr>
  </w:style>
  <w:style w:type="paragraph" w:styleId="TOC1">
    <w:name w:val="toc 1"/>
    <w:basedOn w:val="Normal"/>
    <w:next w:val="Normal"/>
    <w:autoRedefine/>
    <w:uiPriority w:val="99"/>
    <w:rsid w:val="00891D94"/>
    <w:pPr>
      <w:tabs>
        <w:tab w:val="right" w:leader="dot" w:pos="8931"/>
      </w:tabs>
    </w:pPr>
    <w:rPr>
      <w:b/>
      <w:caps/>
    </w:rPr>
  </w:style>
  <w:style w:type="paragraph" w:styleId="TOC2">
    <w:name w:val="toc 2"/>
    <w:basedOn w:val="Normal"/>
    <w:next w:val="Normal"/>
    <w:autoRedefine/>
    <w:uiPriority w:val="99"/>
    <w:rsid w:val="00891D94"/>
    <w:pPr>
      <w:tabs>
        <w:tab w:val="right" w:leader="dot" w:pos="8931"/>
      </w:tabs>
      <w:ind w:left="220"/>
    </w:pPr>
  </w:style>
  <w:style w:type="paragraph" w:styleId="TOC3">
    <w:name w:val="toc 3"/>
    <w:basedOn w:val="Normal"/>
    <w:next w:val="Normal"/>
    <w:autoRedefine/>
    <w:uiPriority w:val="99"/>
    <w:rsid w:val="00891D94"/>
    <w:pPr>
      <w:tabs>
        <w:tab w:val="right" w:leader="dot" w:pos="8931"/>
      </w:tabs>
      <w:ind w:left="440"/>
    </w:pPr>
  </w:style>
  <w:style w:type="character" w:styleId="Hyperlink">
    <w:name w:val="Hyperlink"/>
    <w:basedOn w:val="DefaultParagraphFont"/>
    <w:uiPriority w:val="99"/>
    <w:rsid w:val="009960EE"/>
    <w:rPr>
      <w:rFonts w:cs="Times New Roman"/>
      <w:color w:val="0000FF"/>
      <w:u w:val="single"/>
    </w:rPr>
  </w:style>
  <w:style w:type="table" w:styleId="TableGrid">
    <w:name w:val="Table Grid"/>
    <w:basedOn w:val="TableNormal"/>
    <w:uiPriority w:val="99"/>
    <w:rsid w:val="00F722A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BATableStyle1">
    <w:name w:val="NBA Table Style 1"/>
    <w:basedOn w:val="TableGrid"/>
    <w:uiPriority w:val="99"/>
    <w:rsid w:val="00FA6FC5"/>
    <w:pPr>
      <w:contextualSpacing/>
    </w:pPr>
    <w:rPr>
      <w:rFonts w:ascii="Calibri" w:hAnsi="Calibri"/>
      <w:color w:val="000000"/>
    </w:rPr>
    <w:tblP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57" w:type="dxa"/>
        <w:left w:w="108" w:type="dxa"/>
        <w:bottom w:w="57" w:type="dxa"/>
        <w:right w:w="108" w:type="dxa"/>
      </w:tblCellMar>
    </w:tblPr>
    <w:tcPr>
      <w:shd w:val="clear" w:color="auto" w:fill="F2F2F2"/>
    </w:tcPr>
    <w:tblStylePr w:type="firstRow">
      <w:pPr>
        <w:jc w:val="center"/>
      </w:pPr>
      <w:rPr>
        <w:rFonts w:cs="Arial"/>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C00000"/>
      </w:tcPr>
    </w:tblStylePr>
  </w:style>
  <w:style w:type="table" w:customStyle="1" w:styleId="NBATableStyle2">
    <w:name w:val="NBA Table Style 2"/>
    <w:basedOn w:val="NBATableStyle1"/>
    <w:uiPriority w:val="99"/>
    <w:rsid w:val="00FA6FC5"/>
    <w:tblP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57" w:type="dxa"/>
        <w:left w:w="108" w:type="dxa"/>
        <w:bottom w:w="57" w:type="dxa"/>
        <w:right w:w="108" w:type="dxa"/>
      </w:tblCellMar>
    </w:tblPr>
    <w:tcPr>
      <w:shd w:val="clear" w:color="auto" w:fill="F2F2F2"/>
    </w:tcPr>
    <w:tblStylePr w:type="firstRow">
      <w:pPr>
        <w:jc w:val="center"/>
      </w:pPr>
      <w:rPr>
        <w:rFonts w:cs="Arial"/>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C00000"/>
      </w:tcPr>
    </w:tblStylePr>
    <w:tblStylePr w:type="firstCol">
      <w:rPr>
        <w:rFonts w:cs="Arial"/>
        <w:color w:val="000000"/>
      </w:rPr>
      <w:tblPr/>
      <w:tcPr>
        <w:shd w:val="clear" w:color="auto" w:fill="FFD5D5"/>
      </w:tcPr>
    </w:tblStylePr>
  </w:style>
  <w:style w:type="table" w:customStyle="1" w:styleId="NBATableStyle3">
    <w:name w:val="NBA Table Style 3"/>
    <w:basedOn w:val="NBATableStyle1"/>
    <w:uiPriority w:val="99"/>
    <w:rsid w:val="006C3372"/>
    <w:tblPr>
      <w:tblStyleRowBandSize w:val="1"/>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57" w:type="dxa"/>
        <w:left w:w="108" w:type="dxa"/>
        <w:bottom w:w="57" w:type="dxa"/>
        <w:right w:w="108" w:type="dxa"/>
      </w:tblCellMar>
    </w:tblPr>
    <w:tcPr>
      <w:shd w:val="clear" w:color="auto" w:fill="F2F2F2"/>
    </w:tcPr>
    <w:tblStylePr w:type="firstRow">
      <w:pPr>
        <w:jc w:val="left"/>
      </w:pPr>
      <w:rPr>
        <w:rFonts w:cs="Arial"/>
        <w:b/>
        <w:color w:val="C00000"/>
      </w:rPr>
      <w:tblPr/>
      <w:tcPr>
        <w:tcBorders>
          <w:top w:val="single" w:sz="8" w:space="0" w:color="C00000"/>
          <w:left w:val="nil"/>
          <w:bottom w:val="single" w:sz="8" w:space="0" w:color="C00000"/>
          <w:right w:val="nil"/>
          <w:insideH w:val="nil"/>
          <w:insideV w:val="nil"/>
          <w:tl2br w:val="nil"/>
          <w:tr2bl w:val="nil"/>
        </w:tcBorders>
        <w:shd w:val="clear" w:color="auto" w:fill="FFFFFF"/>
      </w:tcPr>
    </w:tblStylePr>
    <w:tblStylePr w:type="lastRow">
      <w:rPr>
        <w:rFonts w:cs="Arial"/>
        <w:b/>
      </w:rPr>
      <w:tblPr/>
      <w:tcPr>
        <w:tcBorders>
          <w:top w:val="single" w:sz="8" w:space="0" w:color="auto"/>
          <w:left w:val="nil"/>
          <w:bottom w:val="single" w:sz="8" w:space="0" w:color="auto"/>
          <w:right w:val="nil"/>
          <w:insideH w:val="nil"/>
          <w:insideV w:val="nil"/>
          <w:tl2br w:val="nil"/>
          <w:tr2bl w:val="nil"/>
        </w:tcBorders>
        <w:shd w:val="clear" w:color="auto" w:fill="FFFFFF"/>
      </w:tcPr>
    </w:tblStylePr>
    <w:tblStylePr w:type="band1Horz">
      <w:rPr>
        <w:rFonts w:cs="Arial"/>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2F2F2"/>
      </w:tcPr>
    </w:tblStylePr>
    <w:tblStylePr w:type="band2Horz">
      <w:rPr>
        <w:rFonts w:cs="Arial"/>
      </w:rPr>
      <w:tblPr/>
      <w:tcPr>
        <w:tcBorders>
          <w:top w:val="nil"/>
          <w:left w:val="nil"/>
          <w:bottom w:val="nil"/>
          <w:right w:val="nil"/>
          <w:insideH w:val="nil"/>
          <w:insideV w:val="nil"/>
        </w:tcBorders>
        <w:shd w:val="clear" w:color="auto" w:fill="FFFFFF"/>
      </w:tcPr>
    </w:tblStylePr>
  </w:style>
  <w:style w:type="paragraph" w:styleId="BodyText3">
    <w:name w:val="Body Text 3"/>
    <w:basedOn w:val="Normal"/>
    <w:link w:val="BodyText3Char1"/>
    <w:uiPriority w:val="99"/>
    <w:rsid w:val="00A04E07"/>
    <w:pPr>
      <w:spacing w:after="120"/>
    </w:pPr>
    <w:rPr>
      <w:rFonts w:ascii="Times New Roman" w:hAnsi="Times New Roman" w:cs="Times New Roman"/>
      <w:sz w:val="16"/>
      <w:szCs w:val="20"/>
      <w:lang w:eastAsia="ja-JP"/>
    </w:rPr>
  </w:style>
  <w:style w:type="character" w:customStyle="1" w:styleId="BodyText3Char">
    <w:name w:val="Body Text 3 Char"/>
    <w:basedOn w:val="DefaultParagraphFont"/>
    <w:uiPriority w:val="99"/>
    <w:semiHidden/>
    <w:rsid w:val="00A04E07"/>
    <w:rPr>
      <w:rFonts w:ascii="Calibri" w:hAnsi="Calibri" w:cs="Calibri"/>
      <w:sz w:val="16"/>
      <w:szCs w:val="16"/>
      <w:lang w:eastAsia="en-US"/>
    </w:rPr>
  </w:style>
  <w:style w:type="character" w:customStyle="1" w:styleId="BodyText3Char1">
    <w:name w:val="Body Text 3 Char1"/>
    <w:link w:val="BodyText3"/>
    <w:uiPriority w:val="99"/>
    <w:locked/>
    <w:rsid w:val="00A04E07"/>
    <w:rPr>
      <w:rFonts w:ascii="Times New Roman" w:hAnsi="Times New Roman"/>
      <w:sz w:val="16"/>
    </w:rPr>
  </w:style>
  <w:style w:type="character" w:customStyle="1" w:styleId="ListParagraphChar">
    <w:name w:val="List Paragraph Char"/>
    <w:basedOn w:val="DefaultParagraphFont"/>
    <w:link w:val="ListParagraph"/>
    <w:uiPriority w:val="99"/>
    <w:locked/>
    <w:rsid w:val="00A04E07"/>
    <w:rPr>
      <w:rFonts w:ascii="Calibri" w:hAnsi="Calibri" w:cs="Calibri"/>
      <w:sz w:val="22"/>
      <w:szCs w:val="22"/>
      <w:lang w:eastAsia="en-US"/>
    </w:rPr>
  </w:style>
  <w:style w:type="character" w:styleId="FootnoteReference">
    <w:name w:val="footnote reference"/>
    <w:basedOn w:val="DefaultParagraphFont"/>
    <w:uiPriority w:val="99"/>
    <w:semiHidden/>
    <w:rsid w:val="00A04E07"/>
    <w:rPr>
      <w:rFonts w:cs="Times New Roman"/>
      <w:vertAlign w:val="superscript"/>
    </w:rPr>
  </w:style>
  <w:style w:type="paragraph" w:styleId="FootnoteText">
    <w:name w:val="footnote text"/>
    <w:basedOn w:val="Normal"/>
    <w:link w:val="FootnoteTextChar"/>
    <w:uiPriority w:val="99"/>
    <w:rsid w:val="00A04E07"/>
    <w:pPr>
      <w:spacing w:after="0"/>
    </w:pPr>
    <w:rPr>
      <w:rFonts w:cs="Times New Roman"/>
      <w:sz w:val="20"/>
      <w:szCs w:val="20"/>
      <w:lang w:eastAsia="en-AU"/>
    </w:rPr>
  </w:style>
  <w:style w:type="character" w:customStyle="1" w:styleId="FootnoteTextChar">
    <w:name w:val="Footnote Text Char"/>
    <w:basedOn w:val="DefaultParagraphFont"/>
    <w:link w:val="FootnoteText"/>
    <w:uiPriority w:val="99"/>
    <w:locked/>
    <w:rsid w:val="00A04E07"/>
    <w:rPr>
      <w:rFonts w:ascii="Calibri" w:eastAsia="Times New Roman" w:hAnsi="Calibri" w:cs="Times New Roman"/>
    </w:rPr>
  </w:style>
  <w:style w:type="table" w:styleId="MediumShading2-Accent1">
    <w:name w:val="Medium Shading 2 Accent 1"/>
    <w:basedOn w:val="TableNormal"/>
    <w:uiPriority w:val="99"/>
    <w:rsid w:val="00AE0E24"/>
    <w:rPr>
      <w:rFonts w:ascii="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iPriority w:val="99"/>
    <w:semiHidden/>
    <w:rsid w:val="00895AB2"/>
    <w:rPr>
      <w:rFonts w:cs="Times New Roman"/>
      <w:sz w:val="16"/>
      <w:szCs w:val="16"/>
    </w:rPr>
  </w:style>
  <w:style w:type="paragraph" w:styleId="CommentText">
    <w:name w:val="annotation text"/>
    <w:basedOn w:val="Normal"/>
    <w:link w:val="CommentTextChar"/>
    <w:uiPriority w:val="99"/>
    <w:semiHidden/>
    <w:rsid w:val="00895AB2"/>
    <w:rPr>
      <w:sz w:val="20"/>
      <w:szCs w:val="20"/>
    </w:rPr>
  </w:style>
  <w:style w:type="character" w:customStyle="1" w:styleId="CommentTextChar">
    <w:name w:val="Comment Text Char"/>
    <w:basedOn w:val="DefaultParagraphFont"/>
    <w:link w:val="CommentText"/>
    <w:uiPriority w:val="99"/>
    <w:semiHidden/>
    <w:locked/>
    <w:rsid w:val="00895AB2"/>
    <w:rPr>
      <w:rFonts w:ascii="Calibri" w:hAnsi="Calibri" w:cs="Calibri"/>
      <w:lang w:eastAsia="en-US"/>
    </w:rPr>
  </w:style>
  <w:style w:type="paragraph" w:styleId="CommentSubject">
    <w:name w:val="annotation subject"/>
    <w:basedOn w:val="CommentText"/>
    <w:next w:val="CommentText"/>
    <w:link w:val="CommentSubjectChar"/>
    <w:uiPriority w:val="99"/>
    <w:semiHidden/>
    <w:rsid w:val="00895AB2"/>
    <w:rPr>
      <w:b/>
      <w:bCs/>
    </w:rPr>
  </w:style>
  <w:style w:type="character" w:customStyle="1" w:styleId="CommentSubjectChar">
    <w:name w:val="Comment Subject Char"/>
    <w:basedOn w:val="CommentTextChar"/>
    <w:link w:val="CommentSubject"/>
    <w:uiPriority w:val="99"/>
    <w:semiHidden/>
    <w:locked/>
    <w:rsid w:val="00895AB2"/>
    <w:rPr>
      <w:rFonts w:ascii="Calibri" w:hAnsi="Calibri" w:cs="Calibri"/>
      <w:b/>
      <w:bCs/>
      <w:lang w:eastAsia="en-US"/>
    </w:rPr>
  </w:style>
  <w:style w:type="paragraph" w:styleId="Revision">
    <w:name w:val="Revision"/>
    <w:hidden/>
    <w:uiPriority w:val="99"/>
    <w:semiHidden/>
    <w:rsid w:val="00192571"/>
    <w:rPr>
      <w:rFonts w:ascii="Calibri" w:hAnsi="Calibri" w:cs="Calibri"/>
      <w:lang w:eastAsia="en-US"/>
    </w:rPr>
  </w:style>
  <w:style w:type="character" w:styleId="FollowedHyperlink">
    <w:name w:val="FollowedHyperlink"/>
    <w:basedOn w:val="DefaultParagraphFont"/>
    <w:uiPriority w:val="99"/>
    <w:semiHidden/>
    <w:rsid w:val="00247D8B"/>
    <w:rPr>
      <w:rFonts w:cs="Times New Roman"/>
      <w:color w:val="800080"/>
      <w:u w:val="single"/>
    </w:rPr>
  </w:style>
  <w:style w:type="paragraph" w:customStyle="1" w:styleId="acthead5">
    <w:name w:val="acthead5"/>
    <w:basedOn w:val="Normal"/>
    <w:uiPriority w:val="99"/>
    <w:rsid w:val="002F4F9E"/>
    <w:pPr>
      <w:spacing w:before="100" w:beforeAutospacing="1" w:after="100" w:afterAutospacing="1"/>
    </w:pPr>
    <w:rPr>
      <w:rFonts w:ascii="Times New Roman" w:hAnsi="Times New Roman" w:cs="Times New Roman"/>
      <w:sz w:val="24"/>
      <w:szCs w:val="24"/>
      <w:lang w:eastAsia="en-AU"/>
    </w:rPr>
  </w:style>
  <w:style w:type="character" w:customStyle="1" w:styleId="charsectno">
    <w:name w:val="charsectno"/>
    <w:basedOn w:val="DefaultParagraphFont"/>
    <w:uiPriority w:val="99"/>
    <w:rsid w:val="002F4F9E"/>
    <w:rPr>
      <w:rFonts w:cs="Times New Roman"/>
    </w:rPr>
  </w:style>
  <w:style w:type="paragraph" w:customStyle="1" w:styleId="subsection">
    <w:name w:val="subsection"/>
    <w:basedOn w:val="Normal"/>
    <w:uiPriority w:val="99"/>
    <w:rsid w:val="002F4F9E"/>
    <w:pPr>
      <w:spacing w:before="100" w:beforeAutospacing="1" w:after="100" w:afterAutospacing="1"/>
    </w:pPr>
    <w:rPr>
      <w:rFonts w:ascii="Times New Roman" w:hAnsi="Times New Roman" w:cs="Times New Roman"/>
      <w:sz w:val="24"/>
      <w:szCs w:val="24"/>
      <w:lang w:eastAsia="en-AU"/>
    </w:rPr>
  </w:style>
  <w:style w:type="paragraph" w:customStyle="1" w:styleId="paragraph">
    <w:name w:val="paragraph"/>
    <w:basedOn w:val="Normal"/>
    <w:uiPriority w:val="99"/>
    <w:rsid w:val="002F4F9E"/>
    <w:pPr>
      <w:spacing w:before="100" w:beforeAutospacing="1" w:after="100" w:afterAutospacing="1"/>
    </w:pPr>
    <w:rPr>
      <w:rFonts w:ascii="Times New Roman" w:hAnsi="Times New Roman" w:cs="Times New Roman"/>
      <w:sz w:val="24"/>
      <w:szCs w:val="24"/>
      <w:lang w:eastAsia="en-AU"/>
    </w:rPr>
  </w:style>
  <w:style w:type="paragraph" w:customStyle="1" w:styleId="paragraphsub">
    <w:name w:val="paragraphsub"/>
    <w:basedOn w:val="Normal"/>
    <w:uiPriority w:val="99"/>
    <w:rsid w:val="002F4F9E"/>
    <w:pPr>
      <w:spacing w:before="100" w:beforeAutospacing="1" w:after="100" w:afterAutospacing="1"/>
    </w:pPr>
    <w:rPr>
      <w:rFonts w:ascii="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7166327">
      <w:marLeft w:val="0"/>
      <w:marRight w:val="0"/>
      <w:marTop w:val="0"/>
      <w:marBottom w:val="0"/>
      <w:divBdr>
        <w:top w:val="none" w:sz="0" w:space="0" w:color="auto"/>
        <w:left w:val="none" w:sz="0" w:space="0" w:color="auto"/>
        <w:bottom w:val="none" w:sz="0" w:space="0" w:color="auto"/>
        <w:right w:val="none" w:sz="0" w:space="0" w:color="auto"/>
      </w:divBdr>
      <w:divsChild>
        <w:div w:id="2117166332">
          <w:marLeft w:val="0"/>
          <w:marRight w:val="0"/>
          <w:marTop w:val="0"/>
          <w:marBottom w:val="0"/>
          <w:divBdr>
            <w:top w:val="none" w:sz="0" w:space="0" w:color="auto"/>
            <w:left w:val="none" w:sz="0" w:space="0" w:color="auto"/>
            <w:bottom w:val="none" w:sz="0" w:space="0" w:color="auto"/>
            <w:right w:val="none" w:sz="0" w:space="0" w:color="auto"/>
          </w:divBdr>
          <w:divsChild>
            <w:div w:id="2117166329">
              <w:marLeft w:val="0"/>
              <w:marRight w:val="0"/>
              <w:marTop w:val="0"/>
              <w:marBottom w:val="0"/>
              <w:divBdr>
                <w:top w:val="none" w:sz="0" w:space="0" w:color="auto"/>
                <w:left w:val="none" w:sz="0" w:space="0" w:color="auto"/>
                <w:bottom w:val="none" w:sz="0" w:space="0" w:color="auto"/>
                <w:right w:val="none" w:sz="0" w:space="0" w:color="auto"/>
              </w:divBdr>
              <w:divsChild>
                <w:div w:id="2117166337">
                  <w:marLeft w:val="0"/>
                  <w:marRight w:val="0"/>
                  <w:marTop w:val="0"/>
                  <w:marBottom w:val="0"/>
                  <w:divBdr>
                    <w:top w:val="none" w:sz="0" w:space="0" w:color="auto"/>
                    <w:left w:val="none" w:sz="0" w:space="0" w:color="auto"/>
                    <w:bottom w:val="none" w:sz="0" w:space="0" w:color="auto"/>
                    <w:right w:val="none" w:sz="0" w:space="0" w:color="auto"/>
                  </w:divBdr>
                  <w:divsChild>
                    <w:div w:id="2117166335">
                      <w:marLeft w:val="0"/>
                      <w:marRight w:val="0"/>
                      <w:marTop w:val="0"/>
                      <w:marBottom w:val="0"/>
                      <w:divBdr>
                        <w:top w:val="none" w:sz="0" w:space="0" w:color="auto"/>
                        <w:left w:val="none" w:sz="0" w:space="0" w:color="auto"/>
                        <w:bottom w:val="none" w:sz="0" w:space="0" w:color="auto"/>
                        <w:right w:val="none" w:sz="0" w:space="0" w:color="auto"/>
                      </w:divBdr>
                      <w:divsChild>
                        <w:div w:id="2117166333">
                          <w:marLeft w:val="0"/>
                          <w:marRight w:val="0"/>
                          <w:marTop w:val="0"/>
                          <w:marBottom w:val="0"/>
                          <w:divBdr>
                            <w:top w:val="single" w:sz="6" w:space="0" w:color="828282"/>
                            <w:left w:val="single" w:sz="6" w:space="0" w:color="828282"/>
                            <w:bottom w:val="single" w:sz="6" w:space="0" w:color="828282"/>
                            <w:right w:val="single" w:sz="6" w:space="0" w:color="828282"/>
                          </w:divBdr>
                          <w:divsChild>
                            <w:div w:id="2117166330">
                              <w:marLeft w:val="0"/>
                              <w:marRight w:val="0"/>
                              <w:marTop w:val="0"/>
                              <w:marBottom w:val="0"/>
                              <w:divBdr>
                                <w:top w:val="none" w:sz="0" w:space="0" w:color="auto"/>
                                <w:left w:val="none" w:sz="0" w:space="0" w:color="auto"/>
                                <w:bottom w:val="none" w:sz="0" w:space="0" w:color="auto"/>
                                <w:right w:val="none" w:sz="0" w:space="0" w:color="auto"/>
                              </w:divBdr>
                              <w:divsChild>
                                <w:div w:id="2117166326">
                                  <w:marLeft w:val="0"/>
                                  <w:marRight w:val="0"/>
                                  <w:marTop w:val="0"/>
                                  <w:marBottom w:val="0"/>
                                  <w:divBdr>
                                    <w:top w:val="none" w:sz="0" w:space="0" w:color="auto"/>
                                    <w:left w:val="none" w:sz="0" w:space="0" w:color="auto"/>
                                    <w:bottom w:val="none" w:sz="0" w:space="0" w:color="auto"/>
                                    <w:right w:val="none" w:sz="0" w:space="0" w:color="auto"/>
                                  </w:divBdr>
                                  <w:divsChild>
                                    <w:div w:id="2117166334">
                                      <w:marLeft w:val="0"/>
                                      <w:marRight w:val="0"/>
                                      <w:marTop w:val="0"/>
                                      <w:marBottom w:val="0"/>
                                      <w:divBdr>
                                        <w:top w:val="none" w:sz="0" w:space="0" w:color="auto"/>
                                        <w:left w:val="none" w:sz="0" w:space="0" w:color="auto"/>
                                        <w:bottom w:val="none" w:sz="0" w:space="0" w:color="auto"/>
                                        <w:right w:val="none" w:sz="0" w:space="0" w:color="auto"/>
                                      </w:divBdr>
                                      <w:divsChild>
                                        <w:div w:id="2117166336">
                                          <w:marLeft w:val="0"/>
                                          <w:marRight w:val="0"/>
                                          <w:marTop w:val="0"/>
                                          <w:marBottom w:val="0"/>
                                          <w:divBdr>
                                            <w:top w:val="none" w:sz="0" w:space="0" w:color="auto"/>
                                            <w:left w:val="none" w:sz="0" w:space="0" w:color="auto"/>
                                            <w:bottom w:val="none" w:sz="0" w:space="0" w:color="auto"/>
                                            <w:right w:val="none" w:sz="0" w:space="0" w:color="auto"/>
                                          </w:divBdr>
                                          <w:divsChild>
                                            <w:div w:id="2117166328">
                                              <w:marLeft w:val="0"/>
                                              <w:marRight w:val="0"/>
                                              <w:marTop w:val="0"/>
                                              <w:marBottom w:val="0"/>
                                              <w:divBdr>
                                                <w:top w:val="none" w:sz="0" w:space="0" w:color="auto"/>
                                                <w:left w:val="none" w:sz="0" w:space="0" w:color="auto"/>
                                                <w:bottom w:val="none" w:sz="0" w:space="0" w:color="auto"/>
                                                <w:right w:val="none" w:sz="0" w:space="0" w:color="auto"/>
                                              </w:divBdr>
                                              <w:divsChild>
                                                <w:div w:id="211716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ata@blood.gov.au"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blood.gov.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blood.gov.au" TargetMode="External"/><Relationship Id="rId23" Type="http://schemas.openxmlformats.org/officeDocument/2006/relationships/fontTable" Target="fontTable.xml"/><Relationship Id="rId10" Type="http://schemas.openxmlformats.org/officeDocument/2006/relationships/hyperlink" Target="mailto:data@blood.gov.au"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 TargetMode="External"/><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meteor.aihw.gov.au/content/index.phtml/itemId/39256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7AF45-5D79-406B-9733-880BCF782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5015</Words>
  <Characters>28589</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The National Blood Authority, Australia</Company>
  <LinksUpToDate>false</LinksUpToDate>
  <CharactersWithSpaces>33537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Wright, Rachel</dc:creator>
  <cp:lastModifiedBy>Wright, Rachel</cp:lastModifiedBy>
  <cp:revision>5</cp:revision>
  <cp:lastPrinted>2013-04-02T21:41:00Z</cp:lastPrinted>
  <dcterms:created xsi:type="dcterms:W3CDTF">2013-04-02T21:40:00Z</dcterms:created>
  <dcterms:modified xsi:type="dcterms:W3CDTF">2013-04-02T21:43:00Z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TC018408409991</vt:lpwstr>
  </property>
</Properties>
</file>