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Pr="007C688A" w:rsidRDefault="007C688A" w:rsidP="004F2A00">
      <w:pPr>
        <w:pStyle w:val="Heading1"/>
        <w:spacing w:before="240" w:after="120"/>
        <w:ind w:left="567"/>
        <w:rPr>
          <w:b/>
          <w:sz w:val="48"/>
        </w:rPr>
      </w:pPr>
      <w:bookmarkStart w:id="0" w:name="_GoBack"/>
      <w:bookmarkEnd w:id="0"/>
      <w:r w:rsidRPr="007C688A">
        <w:rPr>
          <w:b/>
          <w:sz w:val="48"/>
        </w:rPr>
        <w:t>MyABDR User Account Management for HTC Staff</w:t>
      </w:r>
    </w:p>
    <w:p w:rsidR="002D1803" w:rsidRDefault="002D1803" w:rsidP="004F2A00">
      <w:pPr>
        <w:ind w:left="567"/>
      </w:pPr>
      <w:r>
        <w:t>Within this feature of the Administration menu</w:t>
      </w:r>
      <w:r w:rsidR="00155CAF">
        <w:t xml:space="preserve"> many important task</w:t>
      </w:r>
      <w:r w:rsidR="001138AD">
        <w:t>s</w:t>
      </w:r>
      <w:r w:rsidR="00155CAF">
        <w:t xml:space="preserve"> can be </w:t>
      </w:r>
      <w:r w:rsidR="001138AD">
        <w:t xml:space="preserve">performed </w:t>
      </w:r>
      <w:r w:rsidR="00155CAF">
        <w:t>including resetting account passwords, deactivating patients or adding patient</w:t>
      </w:r>
      <w:r w:rsidR="001138AD">
        <w:t>s</w:t>
      </w:r>
      <w:r w:rsidR="00155CAF">
        <w:t xml:space="preserve"> to MyABDR accounts.</w:t>
      </w:r>
    </w:p>
    <w:p w:rsidR="00155CAF" w:rsidRPr="007B14FA" w:rsidRDefault="00155CAF" w:rsidP="004F2A00">
      <w:pPr>
        <w:ind w:left="567"/>
        <w:rPr>
          <w:b/>
          <w:sz w:val="24"/>
        </w:rPr>
      </w:pPr>
      <w:r w:rsidRPr="007B14FA">
        <w:rPr>
          <w:b/>
          <w:sz w:val="24"/>
        </w:rPr>
        <w:t>Resetting MyABDR user account password:</w:t>
      </w:r>
    </w:p>
    <w:p w:rsidR="00155CAF" w:rsidRDefault="00155CAF" w:rsidP="004F2A00">
      <w:pPr>
        <w:pStyle w:val="ListParagraph"/>
        <w:numPr>
          <w:ilvl w:val="0"/>
          <w:numId w:val="6"/>
        </w:numPr>
        <w:ind w:left="851" w:hanging="284"/>
      </w:pPr>
      <w:r>
        <w:t>Navigate to the MyABDR User account Management heading within the Administration Tab of ABDR</w:t>
      </w:r>
      <w:r w:rsidR="001138AD">
        <w:t>.</w:t>
      </w:r>
    </w:p>
    <w:p w:rsidR="00155CAF" w:rsidRDefault="00155CAF" w:rsidP="004F2A00">
      <w:pPr>
        <w:pStyle w:val="ListParagraph"/>
        <w:numPr>
          <w:ilvl w:val="0"/>
          <w:numId w:val="6"/>
        </w:numPr>
        <w:ind w:left="851" w:hanging="284"/>
      </w:pPr>
      <w:r>
        <w:t xml:space="preserve">Search for the MyABDR user account using the parameters </w:t>
      </w:r>
      <w:r w:rsidR="0092153C">
        <w:t>displayed on screen</w:t>
      </w:r>
      <w:r w:rsidR="001138AD">
        <w:t>.</w:t>
      </w:r>
    </w:p>
    <w:p w:rsidR="00155CAF" w:rsidRDefault="00155CAF" w:rsidP="004F2A00">
      <w:pPr>
        <w:pStyle w:val="ListParagraph"/>
        <w:numPr>
          <w:ilvl w:val="0"/>
          <w:numId w:val="6"/>
        </w:numPr>
        <w:ind w:left="851" w:hanging="284"/>
      </w:pPr>
      <w:r>
        <w:t>Once the account has been identified, click “reset password” on the right of the screen.</w:t>
      </w:r>
    </w:p>
    <w:p w:rsidR="00155CAF" w:rsidRDefault="00155CAF" w:rsidP="004F2A00">
      <w:pPr>
        <w:pStyle w:val="ListParagraph"/>
        <w:ind w:left="851" w:hanging="284"/>
      </w:pPr>
    </w:p>
    <w:p w:rsidR="00155CAF" w:rsidRDefault="00155CAF" w:rsidP="004F2A00">
      <w:pPr>
        <w:pStyle w:val="ListParagraph"/>
        <w:ind w:left="567"/>
      </w:pPr>
      <w:r>
        <w:t xml:space="preserve">This will then send a temporary password to the users </w:t>
      </w:r>
      <w:r w:rsidR="00896AB0">
        <w:t>account;</w:t>
      </w:r>
      <w:r>
        <w:t xml:space="preserve"> they can use this to log in for the first time, and will be prompted by the system to change their password </w:t>
      </w:r>
      <w:r w:rsidR="001138AD">
        <w:t>before they can access their information</w:t>
      </w:r>
      <w:r>
        <w:t>.</w:t>
      </w:r>
    </w:p>
    <w:p w:rsidR="007B14FA" w:rsidRDefault="007B14FA" w:rsidP="004F2A00">
      <w:pPr>
        <w:pStyle w:val="ListParagraph"/>
        <w:ind w:left="567"/>
      </w:pPr>
    </w:p>
    <w:p w:rsidR="007B14FA" w:rsidRPr="00577BE1" w:rsidRDefault="007B14FA" w:rsidP="004F2A00">
      <w:pPr>
        <w:pStyle w:val="ListParagraph"/>
        <w:ind w:left="567"/>
        <w:rPr>
          <w:b/>
          <w:sz w:val="24"/>
        </w:rPr>
      </w:pPr>
      <w:r w:rsidRPr="00577BE1">
        <w:rPr>
          <w:b/>
          <w:sz w:val="24"/>
        </w:rPr>
        <w:t>Adding a patient to a MyABDR User Account:</w:t>
      </w:r>
    </w:p>
    <w:p w:rsidR="007B14FA" w:rsidRDefault="007B14FA" w:rsidP="004F2A00">
      <w:pPr>
        <w:pStyle w:val="ListParagraph"/>
        <w:ind w:left="567"/>
      </w:pPr>
    </w:p>
    <w:p w:rsidR="007B14FA" w:rsidRDefault="007B14FA" w:rsidP="004F2A00">
      <w:pPr>
        <w:pStyle w:val="ListParagraph"/>
        <w:numPr>
          <w:ilvl w:val="0"/>
          <w:numId w:val="7"/>
        </w:numPr>
        <w:ind w:left="851" w:hanging="284"/>
      </w:pPr>
      <w:r>
        <w:t xml:space="preserve">Navigate to the MyABDR User account Management heading within the </w:t>
      </w:r>
      <w:r w:rsidR="00577BE1">
        <w:t>Administration</w:t>
      </w:r>
      <w:r>
        <w:t xml:space="preserve"> Tab of ABDR and search for the MyABDR user account using the search pane.</w:t>
      </w:r>
    </w:p>
    <w:p w:rsidR="007B14FA" w:rsidRDefault="007B14FA" w:rsidP="004F2A00">
      <w:pPr>
        <w:pStyle w:val="ListParagraph"/>
        <w:numPr>
          <w:ilvl w:val="0"/>
          <w:numId w:val="7"/>
        </w:numPr>
        <w:ind w:left="851" w:hanging="284"/>
      </w:pPr>
      <w:r>
        <w:t>Once the user account has been identified click the edit icon on the left of the screen.</w:t>
      </w:r>
    </w:p>
    <w:p w:rsidR="007B14FA" w:rsidRDefault="005920B6" w:rsidP="004F2A00">
      <w:pPr>
        <w:pStyle w:val="ListParagraph"/>
        <w:numPr>
          <w:ilvl w:val="0"/>
          <w:numId w:val="7"/>
        </w:numPr>
        <w:ind w:left="851" w:hanging="284"/>
      </w:pPr>
      <w:r>
        <w:t>Click “Add Patient” under “Associated Patients” and enter the patient details.</w:t>
      </w:r>
    </w:p>
    <w:p w:rsidR="005920B6" w:rsidRDefault="005920B6" w:rsidP="004F2A00">
      <w:pPr>
        <w:pStyle w:val="ListParagraph"/>
        <w:numPr>
          <w:ilvl w:val="0"/>
          <w:numId w:val="7"/>
        </w:numPr>
        <w:ind w:left="851" w:hanging="284"/>
      </w:pPr>
      <w:r>
        <w:t>Enter the patient details and click “Search”</w:t>
      </w:r>
      <w:r w:rsidR="001138AD">
        <w:t>.</w:t>
      </w:r>
    </w:p>
    <w:p w:rsidR="005920B6" w:rsidRDefault="005920B6" w:rsidP="004F2A00">
      <w:pPr>
        <w:pStyle w:val="ListParagraph"/>
        <w:numPr>
          <w:ilvl w:val="0"/>
          <w:numId w:val="7"/>
        </w:numPr>
        <w:ind w:left="851" w:hanging="284"/>
      </w:pPr>
      <w:r>
        <w:t>Once the patient has been identified, highlight the line by clicking on it, complete the “relationship to patient”</w:t>
      </w:r>
      <w:r w:rsidR="00577BE1">
        <w:t xml:space="preserve"> field using the drop down box</w:t>
      </w:r>
      <w:r w:rsidR="001138AD">
        <w:t>, record any notes regarding consent or activation,</w:t>
      </w:r>
      <w:r w:rsidR="00577BE1">
        <w:t xml:space="preserve"> and click “activate”.</w:t>
      </w:r>
    </w:p>
    <w:p w:rsidR="00577BE1" w:rsidRDefault="00577BE1" w:rsidP="004F2A00">
      <w:pPr>
        <w:pStyle w:val="ListParagraph"/>
        <w:numPr>
          <w:ilvl w:val="0"/>
          <w:numId w:val="7"/>
        </w:numPr>
        <w:ind w:left="851" w:hanging="284"/>
      </w:pPr>
      <w:r>
        <w:t>Th</w:t>
      </w:r>
      <w:r w:rsidR="001138AD">
        <w:t>e</w:t>
      </w:r>
      <w:r>
        <w:t xml:space="preserve"> patient is now </w:t>
      </w:r>
      <w:r w:rsidR="001138AD">
        <w:t xml:space="preserve">linked </w:t>
      </w:r>
      <w:r>
        <w:t xml:space="preserve">to the MyABDR user account and will be </w:t>
      </w:r>
      <w:r w:rsidR="001138AD">
        <w:t xml:space="preserve">available for selection, if there is more than on patient linked to their account, in their </w:t>
      </w:r>
      <w:r>
        <w:t xml:space="preserve">MyABDR </w:t>
      </w:r>
      <w:r w:rsidR="001138AD">
        <w:t>app</w:t>
      </w:r>
      <w:r>
        <w:t>.</w:t>
      </w:r>
    </w:p>
    <w:p w:rsidR="00577BE1" w:rsidRDefault="00577BE1" w:rsidP="004F2A00">
      <w:pPr>
        <w:ind w:left="567"/>
        <w:rPr>
          <w:b/>
          <w:sz w:val="24"/>
        </w:rPr>
      </w:pPr>
      <w:r w:rsidRPr="00577BE1">
        <w:rPr>
          <w:b/>
          <w:sz w:val="24"/>
        </w:rPr>
        <w:t>Deactivating Patients associated with MyABDR User Accounts</w:t>
      </w:r>
      <w:r>
        <w:rPr>
          <w:b/>
          <w:sz w:val="24"/>
        </w:rPr>
        <w:t>:</w:t>
      </w:r>
    </w:p>
    <w:p w:rsidR="00577BE1" w:rsidRDefault="00577BE1" w:rsidP="004F2A00">
      <w:pPr>
        <w:ind w:left="567"/>
      </w:pPr>
      <w:r w:rsidRPr="00577BE1">
        <w:t>This feature enables the administrators to remove a MyABDR user’s access to ABDR patients if their relationship change</w:t>
      </w:r>
      <w:r w:rsidR="001138AD">
        <w:t>s</w:t>
      </w:r>
      <w:r w:rsidRPr="00577BE1">
        <w:t xml:space="preserve"> over time.</w:t>
      </w:r>
    </w:p>
    <w:p w:rsidR="00577BE1" w:rsidRDefault="00577BE1" w:rsidP="004F2A00">
      <w:pPr>
        <w:pStyle w:val="ListParagraph"/>
        <w:numPr>
          <w:ilvl w:val="0"/>
          <w:numId w:val="8"/>
        </w:numPr>
        <w:ind w:left="851"/>
      </w:pPr>
      <w:r>
        <w:t xml:space="preserve">Navigate to the MyABDR User account management heading within the Administration Tab of ABDR </w:t>
      </w:r>
    </w:p>
    <w:p w:rsidR="00577BE1" w:rsidRDefault="00577BE1" w:rsidP="004F2A00">
      <w:pPr>
        <w:pStyle w:val="ListParagraph"/>
        <w:numPr>
          <w:ilvl w:val="0"/>
          <w:numId w:val="8"/>
        </w:numPr>
        <w:ind w:left="851"/>
      </w:pPr>
      <w:r>
        <w:t>Search for the MyABDR user account using the search pane</w:t>
      </w:r>
      <w:r w:rsidR="001138AD">
        <w:t>.</w:t>
      </w:r>
    </w:p>
    <w:p w:rsidR="00577BE1" w:rsidRDefault="00577BE1" w:rsidP="004F2A00">
      <w:pPr>
        <w:pStyle w:val="ListParagraph"/>
        <w:numPr>
          <w:ilvl w:val="0"/>
          <w:numId w:val="8"/>
        </w:numPr>
        <w:ind w:left="851"/>
      </w:pPr>
      <w:r>
        <w:t>Under “Associated Patients” identify the ABDR user which needs deactivation</w:t>
      </w:r>
      <w:r w:rsidR="001138AD">
        <w:t>.</w:t>
      </w:r>
    </w:p>
    <w:p w:rsidR="00577BE1" w:rsidRDefault="00577BE1" w:rsidP="004F2A00">
      <w:pPr>
        <w:pStyle w:val="ListParagraph"/>
        <w:numPr>
          <w:ilvl w:val="0"/>
          <w:numId w:val="8"/>
        </w:numPr>
        <w:ind w:left="851"/>
      </w:pPr>
      <w:r>
        <w:t xml:space="preserve">Click the </w:t>
      </w:r>
      <w:r w:rsidR="0092153C">
        <w:t>Red Cross</w:t>
      </w:r>
      <w:r>
        <w:t xml:space="preserve"> on the right of the screen within the row which is associated with the ABDR patient to be removed.</w:t>
      </w:r>
    </w:p>
    <w:p w:rsidR="00577BE1" w:rsidRDefault="00577BE1" w:rsidP="004F2A00">
      <w:pPr>
        <w:pStyle w:val="ListParagraph"/>
        <w:numPr>
          <w:ilvl w:val="0"/>
          <w:numId w:val="8"/>
        </w:numPr>
        <w:ind w:left="851"/>
      </w:pPr>
      <w:r>
        <w:t xml:space="preserve">Click “ok” on the pop up </w:t>
      </w:r>
      <w:r w:rsidR="001138AD">
        <w:t xml:space="preserve">window </w:t>
      </w:r>
      <w:r>
        <w:t xml:space="preserve">which reads “are you sure you want to remove this </w:t>
      </w:r>
      <w:r w:rsidR="00896AB0">
        <w:t>user’s</w:t>
      </w:r>
      <w:r>
        <w:t xml:space="preserve"> access to the patient?</w:t>
      </w:r>
      <w:r w:rsidR="00896AB0">
        <w:t>”</w:t>
      </w:r>
    </w:p>
    <w:p w:rsidR="00577BE1" w:rsidRPr="00577BE1" w:rsidRDefault="00577BE1" w:rsidP="004F2A00">
      <w:pPr>
        <w:ind w:left="491"/>
        <w:rPr>
          <w:b/>
          <w:sz w:val="24"/>
        </w:rPr>
      </w:pPr>
      <w:r>
        <w:t xml:space="preserve">The MyABDR User’s access to this patient has now been deactivated and they will no longer be able to access this patient via the MyABDR </w:t>
      </w:r>
      <w:r w:rsidR="001138AD">
        <w:t xml:space="preserve">app </w:t>
      </w:r>
      <w:r>
        <w:t>or website.</w:t>
      </w:r>
    </w:p>
    <w:sectPr w:rsidR="00577BE1" w:rsidRPr="00577BE1" w:rsidSect="004F2A00">
      <w:footerReference w:type="default" r:id="rId8"/>
      <w:headerReference w:type="first" r:id="rId9"/>
      <w:pgSz w:w="11906" w:h="16838"/>
      <w:pgMar w:top="2113" w:right="1274" w:bottom="709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03" w:rsidRDefault="002D1803" w:rsidP="00856708">
      <w:pPr>
        <w:spacing w:after="0"/>
      </w:pPr>
      <w:r>
        <w:separator/>
      </w:r>
    </w:p>
  </w:endnote>
  <w:endnote w:type="continuationSeparator" w:id="0">
    <w:p w:rsidR="002D1803" w:rsidRDefault="002D1803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3C24CA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03" w:rsidRDefault="002D1803" w:rsidP="00856708">
      <w:pPr>
        <w:spacing w:after="0"/>
      </w:pPr>
      <w:r>
        <w:separator/>
      </w:r>
    </w:p>
  </w:footnote>
  <w:footnote w:type="continuationSeparator" w:id="0">
    <w:p w:rsidR="002D1803" w:rsidRDefault="002D1803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C" w:rsidRDefault="009E37CC" w:rsidP="009E37CC">
    <w:pPr>
      <w:pStyle w:val="Header"/>
      <w:tabs>
        <w:tab w:val="clear" w:pos="9026"/>
        <w:tab w:val="right" w:pos="9072"/>
      </w:tabs>
    </w:pPr>
    <w:r>
      <w:rPr>
        <w:noProof/>
        <w:lang w:eastAsia="en-AU"/>
      </w:rPr>
      <w:drawing>
        <wp:inline distT="0" distB="0" distL="0" distR="0" wp14:anchorId="6BC919A6" wp14:editId="1CE9E2C7">
          <wp:extent cx="6917634" cy="2099145"/>
          <wp:effectExtent l="0" t="0" r="0" b="0"/>
          <wp:docPr id="5" name="Picture 5" title="Graphic element - MyABDR logo and blue honeycomb swi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7634" cy="209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B46"/>
    <w:multiLevelType w:val="hybridMultilevel"/>
    <w:tmpl w:val="AF2A6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145"/>
    <w:multiLevelType w:val="hybridMultilevel"/>
    <w:tmpl w:val="C30C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36715"/>
    <w:multiLevelType w:val="hybridMultilevel"/>
    <w:tmpl w:val="B95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3"/>
    <w:rsid w:val="00036EDC"/>
    <w:rsid w:val="001138AD"/>
    <w:rsid w:val="00155CAF"/>
    <w:rsid w:val="00221506"/>
    <w:rsid w:val="002537F2"/>
    <w:rsid w:val="00265CF6"/>
    <w:rsid w:val="00295CD3"/>
    <w:rsid w:val="002D1803"/>
    <w:rsid w:val="003C24CA"/>
    <w:rsid w:val="003D27F1"/>
    <w:rsid w:val="004D4636"/>
    <w:rsid w:val="004F2A00"/>
    <w:rsid w:val="00540020"/>
    <w:rsid w:val="00577BE1"/>
    <w:rsid w:val="005920B6"/>
    <w:rsid w:val="00680DE1"/>
    <w:rsid w:val="006D6581"/>
    <w:rsid w:val="007B14FA"/>
    <w:rsid w:val="007C688A"/>
    <w:rsid w:val="00856708"/>
    <w:rsid w:val="00893E0A"/>
    <w:rsid w:val="00896AB0"/>
    <w:rsid w:val="0092153C"/>
    <w:rsid w:val="00951B85"/>
    <w:rsid w:val="00974260"/>
    <w:rsid w:val="009E37CC"/>
    <w:rsid w:val="009E38CC"/>
    <w:rsid w:val="00B3726E"/>
    <w:rsid w:val="00CD6DD7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AD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AD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D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1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8AD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8AD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AD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1975</Characters>
  <Application>Microsoft Office Word</Application>
  <DocSecurity>4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MyABDR User Account Management for HTC Staff</vt:lpstr>
    </vt:vector>
  </TitlesOfParts>
  <Company>The National Blood Authority, Australia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MyABDR User Account Management for HTC Staff</dc:title>
  <dc:creator>National Blood Authority</dc:creator>
  <cp:lastModifiedBy>Peter O'Halloran</cp:lastModifiedBy>
  <cp:revision>2</cp:revision>
  <cp:lastPrinted>2014-02-28T05:13:00Z</cp:lastPrinted>
  <dcterms:created xsi:type="dcterms:W3CDTF">2014-03-05T04:15:00Z</dcterms:created>
  <dcterms:modified xsi:type="dcterms:W3CDTF">2014-03-05T04:15:00Z</dcterms:modified>
</cp:coreProperties>
</file>