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F7" w:rsidRDefault="00C845A0" w:rsidP="003767FE">
      <w:pPr>
        <w:pStyle w:val="Heading1"/>
      </w:pPr>
      <w:bookmarkStart w:id="0" w:name="_GoBack"/>
      <w:bookmarkEnd w:id="0"/>
      <w:r>
        <w:t>HTC Check List in preparation for MyABDR</w:t>
      </w:r>
    </w:p>
    <w:p w:rsidR="006222EB" w:rsidRDefault="006222EB" w:rsidP="006222EB"/>
    <w:tbl>
      <w:tblPr>
        <w:tblStyle w:val="TableGrid"/>
        <w:tblW w:w="10065" w:type="dxa"/>
        <w:tblInd w:w="-318" w:type="dxa"/>
        <w:tblLook w:val="04A0" w:firstRow="1" w:lastRow="0" w:firstColumn="1" w:lastColumn="0" w:noHBand="0" w:noVBand="1"/>
      </w:tblPr>
      <w:tblGrid>
        <w:gridCol w:w="984"/>
        <w:gridCol w:w="3146"/>
        <w:gridCol w:w="5935"/>
      </w:tblGrid>
      <w:tr w:rsidR="006222EB" w:rsidTr="00875844">
        <w:tc>
          <w:tcPr>
            <w:tcW w:w="984" w:type="dxa"/>
          </w:tcPr>
          <w:p w:rsidR="006222EB" w:rsidRDefault="006222EB" w:rsidP="00875844">
            <w:pPr>
              <w:pStyle w:val="Heading3"/>
              <w:jc w:val="center"/>
              <w:outlineLvl w:val="2"/>
            </w:pPr>
          </w:p>
        </w:tc>
        <w:tc>
          <w:tcPr>
            <w:tcW w:w="3146" w:type="dxa"/>
          </w:tcPr>
          <w:p w:rsidR="006222EB" w:rsidRDefault="006222EB" w:rsidP="00875844">
            <w:pPr>
              <w:pStyle w:val="Heading3"/>
              <w:jc w:val="center"/>
              <w:outlineLvl w:val="2"/>
            </w:pPr>
            <w:r>
              <w:t xml:space="preserve">Have you </w:t>
            </w:r>
            <w:r w:rsidR="00B467E4">
              <w:t>discussed the implications around</w:t>
            </w:r>
          </w:p>
        </w:tc>
        <w:tc>
          <w:tcPr>
            <w:tcW w:w="5935" w:type="dxa"/>
          </w:tcPr>
          <w:p w:rsidR="006222EB" w:rsidRDefault="006222EB" w:rsidP="00875844">
            <w:pPr>
              <w:pStyle w:val="Heading3"/>
              <w:jc w:val="center"/>
              <w:outlineLvl w:val="2"/>
            </w:pPr>
            <w:r>
              <w:t>Tips</w:t>
            </w:r>
          </w:p>
        </w:tc>
      </w:tr>
      <w:tr w:rsidR="006222EB" w:rsidTr="00875844">
        <w:tc>
          <w:tcPr>
            <w:tcW w:w="984" w:type="dxa"/>
            <w:vAlign w:val="center"/>
          </w:tcPr>
          <w:p w:rsidR="006222EB" w:rsidRPr="00D37B61" w:rsidRDefault="006222EB" w:rsidP="00E72A71">
            <w:pPr>
              <w:rPr>
                <w:sz w:val="56"/>
                <w:szCs w:val="56"/>
              </w:rPr>
            </w:pPr>
            <w:r w:rsidRPr="00D37B61">
              <w:rPr>
                <w:sz w:val="56"/>
                <w:szCs w:val="56"/>
              </w:rPr>
              <w:sym w:font="Wingdings" w:char="F06F"/>
            </w:r>
          </w:p>
        </w:tc>
        <w:tc>
          <w:tcPr>
            <w:tcW w:w="3146" w:type="dxa"/>
            <w:vAlign w:val="center"/>
          </w:tcPr>
          <w:p w:rsidR="006222EB" w:rsidRDefault="006222EB" w:rsidP="00860034">
            <w:r>
              <w:t>HTC staff</w:t>
            </w:r>
            <w:r w:rsidR="00B467E4">
              <w:t xml:space="preserve"> </w:t>
            </w:r>
            <w:r w:rsidR="00860034">
              <w:t>are</w:t>
            </w:r>
            <w:r w:rsidR="00B467E4">
              <w:t xml:space="preserve"> </w:t>
            </w:r>
            <w:r>
              <w:t>responsible for recording treatments in ABDR that were administered using product supplied by the HTC.</w:t>
            </w:r>
          </w:p>
        </w:tc>
        <w:tc>
          <w:tcPr>
            <w:tcW w:w="5935" w:type="dxa"/>
            <w:vAlign w:val="center"/>
          </w:tcPr>
          <w:p w:rsidR="006222EB" w:rsidRDefault="006222EB" w:rsidP="00E72A71">
            <w:r>
              <w:t>In some circumstances HTCs may require patients to record all treatments, regardless of where the product is supplied from.   In these situations MyABDR users must be instructed to do so by their HTC and enter product into their inventory first.</w:t>
            </w:r>
          </w:p>
          <w:p w:rsidR="00B467E4" w:rsidRDefault="00B467E4" w:rsidP="00E72A71"/>
          <w:p w:rsidR="00B467E4" w:rsidRDefault="00B467E4" w:rsidP="00B467E4">
            <w:r w:rsidRPr="009B5DB0">
              <w:rPr>
                <w:b/>
              </w:rPr>
              <w:t>NOTE</w:t>
            </w:r>
            <w:r w:rsidR="00875844" w:rsidRPr="009B5DB0">
              <w:rPr>
                <w:b/>
              </w:rPr>
              <w:t>:</w:t>
            </w:r>
            <w:r>
              <w:t xml:space="preserve"> this applies unless other arrangements are made with patients.</w:t>
            </w:r>
          </w:p>
        </w:tc>
      </w:tr>
      <w:tr w:rsidR="006222EB" w:rsidTr="00875844">
        <w:tc>
          <w:tcPr>
            <w:tcW w:w="984" w:type="dxa"/>
            <w:vAlign w:val="center"/>
          </w:tcPr>
          <w:p w:rsidR="006222EB" w:rsidRPr="00D37B61" w:rsidRDefault="006222EB" w:rsidP="00E72A71">
            <w:pPr>
              <w:rPr>
                <w:sz w:val="56"/>
                <w:szCs w:val="56"/>
              </w:rPr>
            </w:pPr>
            <w:r w:rsidRPr="00D37B61">
              <w:rPr>
                <w:sz w:val="56"/>
                <w:szCs w:val="56"/>
              </w:rPr>
              <w:sym w:font="Wingdings" w:char="F06F"/>
            </w:r>
          </w:p>
        </w:tc>
        <w:tc>
          <w:tcPr>
            <w:tcW w:w="3146" w:type="dxa"/>
            <w:vAlign w:val="center"/>
          </w:tcPr>
          <w:p w:rsidR="00B467E4" w:rsidRDefault="00B467E4" w:rsidP="00B467E4"/>
          <w:p w:rsidR="006222EB" w:rsidRDefault="006222EB" w:rsidP="00B467E4">
            <w:r>
              <w:t xml:space="preserve">The timeframe in which patients can expect to see ABDR treatment interactions appearing in MyABDR following treatments administered in the HTC Setting. </w:t>
            </w:r>
          </w:p>
          <w:p w:rsidR="00B467E4" w:rsidRDefault="00B467E4" w:rsidP="00B467E4"/>
        </w:tc>
        <w:tc>
          <w:tcPr>
            <w:tcW w:w="5935" w:type="dxa"/>
            <w:vAlign w:val="center"/>
          </w:tcPr>
          <w:p w:rsidR="006222EB" w:rsidRDefault="006222EB" w:rsidP="00B467E4">
            <w:r>
              <w:t xml:space="preserve">Patients </w:t>
            </w:r>
            <w:r w:rsidR="00B467E4">
              <w:t xml:space="preserve">now </w:t>
            </w:r>
            <w:r>
              <w:t xml:space="preserve">have visibility of these interactions </w:t>
            </w:r>
            <w:r w:rsidR="00B467E4">
              <w:t xml:space="preserve">(only those fields that relate to MyABDR fields).  Patients </w:t>
            </w:r>
            <w:r>
              <w:t xml:space="preserve">may have an expectation </w:t>
            </w:r>
            <w:r w:rsidR="00B467E4">
              <w:t xml:space="preserve">these treatments </w:t>
            </w:r>
            <w:r>
              <w:t>will be visible to them in ‘real time’, however in reality this may take some weeks.</w:t>
            </w:r>
          </w:p>
          <w:p w:rsidR="00B467E4" w:rsidRDefault="00B467E4" w:rsidP="00B467E4"/>
          <w:p w:rsidR="00B467E4" w:rsidRDefault="00B467E4" w:rsidP="00B467E4">
            <w:r>
              <w:t>Consider discussing these timeframes with patients to avoid problems.</w:t>
            </w:r>
          </w:p>
        </w:tc>
      </w:tr>
      <w:tr w:rsidR="006222EB" w:rsidTr="00875844">
        <w:tc>
          <w:tcPr>
            <w:tcW w:w="984" w:type="dxa"/>
            <w:vAlign w:val="center"/>
          </w:tcPr>
          <w:p w:rsidR="006222EB" w:rsidRPr="00D37B61" w:rsidRDefault="006222EB" w:rsidP="006222EB">
            <w:pPr>
              <w:rPr>
                <w:sz w:val="56"/>
                <w:szCs w:val="56"/>
              </w:rPr>
            </w:pPr>
            <w:r w:rsidRPr="00D37B61">
              <w:rPr>
                <w:sz w:val="56"/>
                <w:szCs w:val="56"/>
              </w:rPr>
              <w:sym w:font="Wingdings" w:char="F06F"/>
            </w:r>
          </w:p>
        </w:tc>
        <w:tc>
          <w:tcPr>
            <w:tcW w:w="3146" w:type="dxa"/>
          </w:tcPr>
          <w:p w:rsidR="006222EB" w:rsidRDefault="006222EB" w:rsidP="006222EB">
            <w:r>
              <w:t xml:space="preserve">The difference between a Patient’s </w:t>
            </w:r>
            <w:r w:rsidR="00B467E4">
              <w:t>‘</w:t>
            </w:r>
            <w:r>
              <w:t>Stock on Hand</w:t>
            </w:r>
            <w:r w:rsidR="00B467E4">
              <w:t>’</w:t>
            </w:r>
            <w:r>
              <w:t xml:space="preserve"> in MyABDR is different to choosing Patient Stock as product source in ABDR Treatment Interactions.</w:t>
            </w:r>
          </w:p>
        </w:tc>
        <w:tc>
          <w:tcPr>
            <w:tcW w:w="5935" w:type="dxa"/>
            <w:vAlign w:val="center"/>
          </w:tcPr>
          <w:p w:rsidR="006222EB" w:rsidRDefault="006222EB" w:rsidP="006222EB">
            <w:r>
              <w:t>Choosing Patient</w:t>
            </w:r>
            <w:r w:rsidR="006E2A79">
              <w:t xml:space="preserve"> Stock in ABDR will not deduct</w:t>
            </w:r>
            <w:r>
              <w:t xml:space="preserve"> </w:t>
            </w:r>
            <w:r w:rsidR="00B467E4">
              <w:t xml:space="preserve">the product </w:t>
            </w:r>
            <w:r>
              <w:t>from Patients Stock On Hand, it is not designed to work this way.</w:t>
            </w:r>
          </w:p>
        </w:tc>
      </w:tr>
      <w:tr w:rsidR="00A421D3" w:rsidTr="00875844">
        <w:tc>
          <w:tcPr>
            <w:tcW w:w="984" w:type="dxa"/>
            <w:vAlign w:val="center"/>
          </w:tcPr>
          <w:p w:rsidR="00A421D3" w:rsidRPr="00D37B61" w:rsidRDefault="00A421D3" w:rsidP="00E72A71">
            <w:pPr>
              <w:rPr>
                <w:sz w:val="56"/>
                <w:szCs w:val="56"/>
              </w:rPr>
            </w:pPr>
            <w:r w:rsidRPr="00D37B61">
              <w:rPr>
                <w:sz w:val="56"/>
                <w:szCs w:val="56"/>
              </w:rPr>
              <w:sym w:font="Wingdings" w:char="F06F"/>
            </w:r>
          </w:p>
        </w:tc>
        <w:tc>
          <w:tcPr>
            <w:tcW w:w="3146" w:type="dxa"/>
          </w:tcPr>
          <w:p w:rsidR="00A421D3" w:rsidRDefault="00A421D3" w:rsidP="00A421D3">
            <w:r>
              <w:t>Ensuring MyABDR User Access Requests are from individuals know</w:t>
            </w:r>
            <w:r w:rsidR="00860034">
              <w:t>n</w:t>
            </w:r>
            <w:r>
              <w:t xml:space="preserve"> to your HTC and they are not using aliases?</w:t>
            </w:r>
          </w:p>
        </w:tc>
        <w:tc>
          <w:tcPr>
            <w:tcW w:w="5935" w:type="dxa"/>
            <w:vAlign w:val="center"/>
          </w:tcPr>
          <w:p w:rsidR="00A421D3" w:rsidRDefault="00A421D3" w:rsidP="00A421D3">
            <w:r>
              <w:t>MyABDR Users are required to confirm the details they submit are true and correct.</w:t>
            </w:r>
          </w:p>
          <w:p w:rsidR="00A421D3" w:rsidRDefault="00A421D3" w:rsidP="00A421D3"/>
          <w:p w:rsidR="00A421D3" w:rsidRDefault="00A421D3" w:rsidP="00A421D3">
            <w:r>
              <w:t>Refer to the Legal requirements and disclaimer described in points 19 – 22 of the Terms and Conditions.</w:t>
            </w:r>
          </w:p>
        </w:tc>
      </w:tr>
    </w:tbl>
    <w:p w:rsidR="006222EB" w:rsidRPr="006222EB" w:rsidRDefault="006222EB" w:rsidP="006222EB"/>
    <w:p w:rsidR="00875844" w:rsidRDefault="00875844" w:rsidP="003767FE">
      <w:pPr>
        <w:pStyle w:val="Heading1"/>
      </w:pPr>
    </w:p>
    <w:p w:rsidR="00232C73" w:rsidRDefault="00232C73" w:rsidP="003767FE">
      <w:pPr>
        <w:pStyle w:val="Heading1"/>
      </w:pPr>
    </w:p>
    <w:p w:rsidR="00232C73" w:rsidRDefault="00232C73" w:rsidP="003767FE">
      <w:pPr>
        <w:pStyle w:val="Heading1"/>
      </w:pPr>
    </w:p>
    <w:p w:rsidR="00232C73" w:rsidRDefault="00232C73" w:rsidP="003767FE">
      <w:pPr>
        <w:pStyle w:val="Heading1"/>
      </w:pPr>
    </w:p>
    <w:p w:rsidR="00232C73" w:rsidRDefault="00232C73" w:rsidP="003767FE">
      <w:pPr>
        <w:pStyle w:val="Heading1"/>
      </w:pPr>
    </w:p>
    <w:p w:rsidR="00232C73" w:rsidRDefault="00232C73" w:rsidP="003767FE">
      <w:pPr>
        <w:pStyle w:val="Heading1"/>
      </w:pPr>
    </w:p>
    <w:p w:rsidR="00232C73" w:rsidRDefault="00232C73" w:rsidP="003767FE">
      <w:pPr>
        <w:pStyle w:val="Heading1"/>
      </w:pPr>
    </w:p>
    <w:p w:rsidR="002408D0" w:rsidRDefault="003767FE" w:rsidP="003767FE">
      <w:pPr>
        <w:pStyle w:val="Heading1"/>
      </w:pPr>
      <w:r>
        <w:lastRenderedPageBreak/>
        <w:t>ABDR Check List for MyABDR Access Requests</w:t>
      </w:r>
    </w:p>
    <w:p w:rsidR="00D37B61" w:rsidRDefault="00D37B61" w:rsidP="004B38CC">
      <w:r>
        <w:t>Before you approve MyABDR Access Requests, it is important you work through the following check list to ensure the MyABDR user:</w:t>
      </w:r>
    </w:p>
    <w:p w:rsidR="00D37B61" w:rsidRDefault="00D37B61" w:rsidP="00D37B61">
      <w:pPr>
        <w:pStyle w:val="ListParagraph"/>
        <w:numPr>
          <w:ilvl w:val="0"/>
          <w:numId w:val="7"/>
        </w:numPr>
      </w:pPr>
      <w:r>
        <w:t>understands your expectations when using MyABDR; and</w:t>
      </w:r>
    </w:p>
    <w:p w:rsidR="004B38CC" w:rsidRDefault="00D37B61" w:rsidP="00D37B61">
      <w:pPr>
        <w:pStyle w:val="ListParagraph"/>
        <w:numPr>
          <w:ilvl w:val="0"/>
          <w:numId w:val="7"/>
        </w:numPr>
      </w:pPr>
      <w:r>
        <w:t xml:space="preserve">has access to the most current information </w:t>
      </w:r>
      <w:r w:rsidR="00860034">
        <w:t>available about their treatment</w:t>
      </w:r>
    </w:p>
    <w:p w:rsidR="00D37B61" w:rsidRDefault="00D37B61" w:rsidP="004B38CC"/>
    <w:tbl>
      <w:tblPr>
        <w:tblStyle w:val="TableGrid"/>
        <w:tblW w:w="10065" w:type="dxa"/>
        <w:tblInd w:w="-318" w:type="dxa"/>
        <w:tblLook w:val="04A0" w:firstRow="1" w:lastRow="0" w:firstColumn="1" w:lastColumn="0" w:noHBand="0" w:noVBand="1"/>
      </w:tblPr>
      <w:tblGrid>
        <w:gridCol w:w="984"/>
        <w:gridCol w:w="3146"/>
        <w:gridCol w:w="5935"/>
      </w:tblGrid>
      <w:tr w:rsidR="00D37B61" w:rsidTr="00232C73">
        <w:tc>
          <w:tcPr>
            <w:tcW w:w="984" w:type="dxa"/>
            <w:vAlign w:val="center"/>
          </w:tcPr>
          <w:p w:rsidR="00D37B61" w:rsidRDefault="00D37B61" w:rsidP="009E021D">
            <w:pPr>
              <w:pStyle w:val="Heading3"/>
              <w:outlineLvl w:val="2"/>
            </w:pPr>
          </w:p>
        </w:tc>
        <w:tc>
          <w:tcPr>
            <w:tcW w:w="3146" w:type="dxa"/>
          </w:tcPr>
          <w:p w:rsidR="00D37B61" w:rsidRDefault="00C845A0" w:rsidP="009E021D">
            <w:pPr>
              <w:pStyle w:val="Heading3"/>
              <w:outlineLvl w:val="2"/>
            </w:pPr>
            <w:r>
              <w:t>Have you confirmed…</w:t>
            </w:r>
          </w:p>
        </w:tc>
        <w:tc>
          <w:tcPr>
            <w:tcW w:w="5935" w:type="dxa"/>
          </w:tcPr>
          <w:p w:rsidR="00D37B61" w:rsidRDefault="00D37B61" w:rsidP="009E021D">
            <w:pPr>
              <w:pStyle w:val="Heading3"/>
              <w:outlineLvl w:val="2"/>
            </w:pPr>
            <w:r>
              <w:t>Tips</w:t>
            </w:r>
          </w:p>
        </w:tc>
      </w:tr>
      <w:tr w:rsidR="00C845A0" w:rsidTr="00232C73">
        <w:tc>
          <w:tcPr>
            <w:tcW w:w="984" w:type="dxa"/>
            <w:vAlign w:val="center"/>
          </w:tcPr>
          <w:p w:rsidR="00C845A0" w:rsidRPr="00D37B61" w:rsidRDefault="00C845A0" w:rsidP="00E72A71">
            <w:pPr>
              <w:rPr>
                <w:sz w:val="56"/>
                <w:szCs w:val="56"/>
              </w:rPr>
            </w:pPr>
            <w:r w:rsidRPr="00D37B61">
              <w:rPr>
                <w:sz w:val="56"/>
                <w:szCs w:val="56"/>
              </w:rPr>
              <w:sym w:font="Wingdings" w:char="F06F"/>
            </w:r>
          </w:p>
        </w:tc>
        <w:tc>
          <w:tcPr>
            <w:tcW w:w="3146" w:type="dxa"/>
            <w:vAlign w:val="center"/>
          </w:tcPr>
          <w:p w:rsidR="00C845A0" w:rsidRDefault="00C845A0" w:rsidP="00A87D68">
            <w:r>
              <w:t>MyABDR user</w:t>
            </w:r>
            <w:r w:rsidR="00A87D68">
              <w:t>s</w:t>
            </w:r>
            <w:r>
              <w:t xml:space="preserve"> understand that MyABDR is a personal recording tool, not a communication tool</w:t>
            </w:r>
            <w:r w:rsidR="009E021D">
              <w:t>?</w:t>
            </w:r>
          </w:p>
        </w:tc>
        <w:tc>
          <w:tcPr>
            <w:tcW w:w="5935" w:type="dxa"/>
            <w:vAlign w:val="center"/>
          </w:tcPr>
          <w:p w:rsidR="00C845A0" w:rsidRDefault="006222EB" w:rsidP="00B467E4">
            <w:r>
              <w:t>Explain that recording treatments and bleeds in MyABDR does not substitute main</w:t>
            </w:r>
            <w:r w:rsidR="00B467E4">
              <w:t>tainin</w:t>
            </w:r>
            <w:r>
              <w:t xml:space="preserve">g contact with their HTC </w:t>
            </w:r>
            <w:r w:rsidR="00B467E4">
              <w:t>to discuss their bleeds and treatments as required.</w:t>
            </w:r>
          </w:p>
          <w:p w:rsidR="00B467E4" w:rsidRDefault="00B467E4" w:rsidP="00B467E4"/>
          <w:p w:rsidR="00B467E4" w:rsidRDefault="00B467E4" w:rsidP="00B467E4">
            <w:r>
              <w:t>Refer to the Summary in Terms and Conditions for background information.</w:t>
            </w:r>
          </w:p>
        </w:tc>
      </w:tr>
      <w:tr w:rsidR="00D37B61" w:rsidTr="00232C73">
        <w:tc>
          <w:tcPr>
            <w:tcW w:w="984" w:type="dxa"/>
            <w:vAlign w:val="center"/>
          </w:tcPr>
          <w:p w:rsidR="00D37B61" w:rsidRPr="00D37B61" w:rsidRDefault="00D37B61" w:rsidP="00C845A0">
            <w:pPr>
              <w:rPr>
                <w:sz w:val="56"/>
                <w:szCs w:val="56"/>
              </w:rPr>
            </w:pPr>
            <w:r w:rsidRPr="00D37B61">
              <w:rPr>
                <w:sz w:val="56"/>
                <w:szCs w:val="56"/>
              </w:rPr>
              <w:sym w:font="Wingdings" w:char="F06F"/>
            </w:r>
          </w:p>
        </w:tc>
        <w:tc>
          <w:tcPr>
            <w:tcW w:w="3146" w:type="dxa"/>
            <w:vAlign w:val="center"/>
          </w:tcPr>
          <w:p w:rsidR="00D37B61" w:rsidRPr="00D37B61" w:rsidRDefault="009E021D" w:rsidP="009E021D">
            <w:pPr>
              <w:rPr>
                <w:bCs/>
              </w:rPr>
            </w:pPr>
            <w:r>
              <w:rPr>
                <w:bCs/>
              </w:rPr>
              <w:t>That a</w:t>
            </w:r>
            <w:r w:rsidR="00D37B61" w:rsidRPr="00D37B61">
              <w:rPr>
                <w:bCs/>
              </w:rPr>
              <w:t xml:space="preserve"> current Treatment Plan </w:t>
            </w:r>
            <w:r w:rsidR="00D37B61">
              <w:rPr>
                <w:bCs/>
              </w:rPr>
              <w:t>exists</w:t>
            </w:r>
            <w:r>
              <w:rPr>
                <w:bCs/>
              </w:rPr>
              <w:t xml:space="preserve"> for the patient?</w:t>
            </w:r>
          </w:p>
        </w:tc>
        <w:tc>
          <w:tcPr>
            <w:tcW w:w="5935" w:type="dxa"/>
            <w:vAlign w:val="center"/>
          </w:tcPr>
          <w:p w:rsidR="00D37B61" w:rsidRPr="00D37B61" w:rsidRDefault="00D37B61" w:rsidP="00D37B61">
            <w:pPr>
              <w:rPr>
                <w:bCs/>
              </w:rPr>
            </w:pPr>
            <w:r w:rsidRPr="00D37B61">
              <w:rPr>
                <w:bCs/>
              </w:rPr>
              <w:t>To check search for the Patient associated to</w:t>
            </w:r>
            <w:r w:rsidR="00207742">
              <w:rPr>
                <w:bCs/>
              </w:rPr>
              <w:t xml:space="preserve"> the MyABDR Access Request </w:t>
            </w:r>
            <w:r w:rsidRPr="00D37B61">
              <w:rPr>
                <w:bCs/>
              </w:rPr>
              <w:t>go to:</w:t>
            </w:r>
          </w:p>
          <w:p w:rsidR="00D37B61" w:rsidRPr="00D37B61" w:rsidRDefault="00D37B61" w:rsidP="00207742">
            <w:pPr>
              <w:pStyle w:val="ListParagraph"/>
              <w:numPr>
                <w:ilvl w:val="0"/>
                <w:numId w:val="6"/>
              </w:numPr>
              <w:contextualSpacing w:val="0"/>
              <w:rPr>
                <w:bCs/>
              </w:rPr>
            </w:pPr>
            <w:r w:rsidRPr="00207742">
              <w:rPr>
                <w:bCs/>
              </w:rPr>
              <w:t>Clinical Tab</w:t>
            </w:r>
            <w:r w:rsidR="00207742" w:rsidRPr="00207742">
              <w:rPr>
                <w:bCs/>
              </w:rPr>
              <w:t xml:space="preserve"> -&gt; </w:t>
            </w:r>
            <w:r w:rsidRPr="00207742">
              <w:rPr>
                <w:bCs/>
              </w:rPr>
              <w:t>Treatment Plan</w:t>
            </w:r>
            <w:r w:rsidR="00207742">
              <w:rPr>
                <w:bCs/>
              </w:rPr>
              <w:t xml:space="preserve"> -&gt; </w:t>
            </w:r>
            <w:r>
              <w:rPr>
                <w:bCs/>
              </w:rPr>
              <w:t xml:space="preserve">Update </w:t>
            </w:r>
            <w:r w:rsidRPr="00D37B61">
              <w:rPr>
                <w:bCs/>
              </w:rPr>
              <w:t>details</w:t>
            </w:r>
            <w:r>
              <w:rPr>
                <w:bCs/>
              </w:rPr>
              <w:t xml:space="preserve"> </w:t>
            </w:r>
          </w:p>
        </w:tc>
      </w:tr>
      <w:tr w:rsidR="00D37B61" w:rsidTr="00232C73">
        <w:tc>
          <w:tcPr>
            <w:tcW w:w="984" w:type="dxa"/>
            <w:vAlign w:val="center"/>
          </w:tcPr>
          <w:p w:rsidR="00D37B61" w:rsidRPr="00D37B61" w:rsidRDefault="00D37B61" w:rsidP="00C845A0">
            <w:pPr>
              <w:rPr>
                <w:sz w:val="56"/>
                <w:szCs w:val="56"/>
              </w:rPr>
            </w:pPr>
            <w:r w:rsidRPr="00D37B61">
              <w:rPr>
                <w:sz w:val="56"/>
                <w:szCs w:val="56"/>
              </w:rPr>
              <w:sym w:font="Wingdings" w:char="F06F"/>
            </w:r>
          </w:p>
        </w:tc>
        <w:tc>
          <w:tcPr>
            <w:tcW w:w="3146" w:type="dxa"/>
            <w:vAlign w:val="center"/>
          </w:tcPr>
          <w:p w:rsidR="00D37B61" w:rsidRPr="00D37B61" w:rsidRDefault="00D37B61" w:rsidP="00D37B61">
            <w:r>
              <w:rPr>
                <w:bCs/>
              </w:rPr>
              <w:t>MyABDR user</w:t>
            </w:r>
            <w:r w:rsidR="00A87D68">
              <w:rPr>
                <w:bCs/>
              </w:rPr>
              <w:t>s</w:t>
            </w:r>
            <w:r>
              <w:rPr>
                <w:bCs/>
              </w:rPr>
              <w:t xml:space="preserve"> </w:t>
            </w:r>
            <w:r w:rsidRPr="00D37B61">
              <w:rPr>
                <w:bCs/>
              </w:rPr>
              <w:t>understand the relationship between treatment plan and treatment types</w:t>
            </w:r>
            <w:r w:rsidR="009E021D">
              <w:rPr>
                <w:bCs/>
              </w:rPr>
              <w:t>?</w:t>
            </w:r>
          </w:p>
        </w:tc>
        <w:tc>
          <w:tcPr>
            <w:tcW w:w="5935" w:type="dxa"/>
            <w:vAlign w:val="center"/>
          </w:tcPr>
          <w:p w:rsidR="00D37B61" w:rsidRDefault="00D37B61" w:rsidP="00232C73">
            <w:pPr>
              <w:pStyle w:val="ListParagraph"/>
              <w:numPr>
                <w:ilvl w:val="0"/>
                <w:numId w:val="6"/>
              </w:numPr>
              <w:ind w:left="406"/>
              <w:contextualSpacing w:val="0"/>
              <w:rPr>
                <w:b/>
                <w:bCs/>
              </w:rPr>
            </w:pPr>
            <w:r>
              <w:t>Treatment Plan with</w:t>
            </w:r>
            <w:r>
              <w:rPr>
                <w:b/>
                <w:bCs/>
              </w:rPr>
              <w:t xml:space="preserve"> Routine Prophylaxis </w:t>
            </w:r>
            <w:r>
              <w:t>regimen</w:t>
            </w:r>
            <w:r>
              <w:rPr>
                <w:b/>
                <w:bCs/>
              </w:rPr>
              <w:t xml:space="preserve"> = Routine Prophylaxis </w:t>
            </w:r>
            <w:r>
              <w:t>Treatment Type</w:t>
            </w:r>
          </w:p>
          <w:p w:rsidR="00D37B61" w:rsidRDefault="00D37B61" w:rsidP="00232C73">
            <w:pPr>
              <w:pStyle w:val="ListParagraph"/>
              <w:numPr>
                <w:ilvl w:val="0"/>
                <w:numId w:val="6"/>
              </w:numPr>
              <w:ind w:left="406"/>
              <w:contextualSpacing w:val="0"/>
              <w:rPr>
                <w:b/>
                <w:bCs/>
              </w:rPr>
            </w:pPr>
            <w:r>
              <w:t>Treatment Plan with</w:t>
            </w:r>
            <w:r>
              <w:rPr>
                <w:b/>
                <w:bCs/>
              </w:rPr>
              <w:t xml:space="preserve"> Temporary Prophylaxis </w:t>
            </w:r>
            <w:r>
              <w:t>regimen</w:t>
            </w:r>
            <w:r>
              <w:rPr>
                <w:b/>
                <w:bCs/>
              </w:rPr>
              <w:t xml:space="preserve"> = Temporary Prophylaxis </w:t>
            </w:r>
            <w:r>
              <w:t>Treatment Type</w:t>
            </w:r>
          </w:p>
          <w:p w:rsidR="00D37B61" w:rsidRDefault="00D37B61" w:rsidP="00232C73">
            <w:pPr>
              <w:pStyle w:val="ListParagraph"/>
              <w:numPr>
                <w:ilvl w:val="0"/>
                <w:numId w:val="6"/>
              </w:numPr>
              <w:ind w:left="406"/>
              <w:contextualSpacing w:val="0"/>
              <w:rPr>
                <w:b/>
                <w:bCs/>
              </w:rPr>
            </w:pPr>
            <w:r>
              <w:t>Treatment Plan with</w:t>
            </w:r>
            <w:r>
              <w:rPr>
                <w:b/>
                <w:bCs/>
              </w:rPr>
              <w:t xml:space="preserve"> Bleed </w:t>
            </w:r>
            <w:r>
              <w:t>regimen</w:t>
            </w:r>
            <w:r>
              <w:rPr>
                <w:b/>
                <w:bCs/>
              </w:rPr>
              <w:t xml:space="preserve"> = Bleed </w:t>
            </w:r>
            <w:r>
              <w:t>Treatment Type</w:t>
            </w:r>
          </w:p>
          <w:p w:rsidR="00D37B61" w:rsidRDefault="00D37B61" w:rsidP="00232C73">
            <w:pPr>
              <w:pStyle w:val="ListParagraph"/>
              <w:numPr>
                <w:ilvl w:val="0"/>
                <w:numId w:val="6"/>
              </w:numPr>
              <w:ind w:left="406"/>
              <w:contextualSpacing w:val="0"/>
              <w:rPr>
                <w:b/>
                <w:bCs/>
              </w:rPr>
            </w:pPr>
            <w:r>
              <w:t>Treatment Plan with</w:t>
            </w:r>
            <w:r>
              <w:rPr>
                <w:b/>
                <w:bCs/>
              </w:rPr>
              <w:t xml:space="preserve"> Immune Tolerance Therapy </w:t>
            </w:r>
            <w:r>
              <w:t>regimen</w:t>
            </w:r>
            <w:r>
              <w:rPr>
                <w:b/>
                <w:bCs/>
              </w:rPr>
              <w:t xml:space="preserve"> = Immune Tolerance Therapy </w:t>
            </w:r>
            <w:r>
              <w:t>Treatment Type</w:t>
            </w:r>
          </w:p>
          <w:p w:rsidR="00D37B61" w:rsidRDefault="00D37B61" w:rsidP="00232C73">
            <w:pPr>
              <w:pStyle w:val="ListParagraph"/>
              <w:numPr>
                <w:ilvl w:val="0"/>
                <w:numId w:val="6"/>
              </w:numPr>
              <w:ind w:left="406"/>
              <w:contextualSpacing w:val="0"/>
              <w:rPr>
                <w:b/>
                <w:bCs/>
              </w:rPr>
            </w:pPr>
            <w:r>
              <w:rPr>
                <w:b/>
                <w:bCs/>
              </w:rPr>
              <w:t xml:space="preserve">Surgery Procedure </w:t>
            </w:r>
            <w:r>
              <w:t>Treatment Type has no corresponding Regimen, Patients should use this as instructed by their HTC</w:t>
            </w:r>
          </w:p>
          <w:p w:rsidR="00D37B61" w:rsidRDefault="00D37B61" w:rsidP="00232C73">
            <w:pPr>
              <w:pStyle w:val="ListParagraph"/>
              <w:numPr>
                <w:ilvl w:val="0"/>
                <w:numId w:val="6"/>
              </w:numPr>
              <w:ind w:left="406"/>
              <w:contextualSpacing w:val="0"/>
              <w:rPr>
                <w:b/>
                <w:bCs/>
              </w:rPr>
            </w:pPr>
            <w:r>
              <w:rPr>
                <w:b/>
                <w:bCs/>
              </w:rPr>
              <w:t xml:space="preserve">Preventative </w:t>
            </w:r>
            <w:r>
              <w:t>Treatment Type has no corresponding Regimen, Patients should use this as instructed by their HTC</w:t>
            </w:r>
          </w:p>
          <w:p w:rsidR="00D37B61" w:rsidRPr="00C845A0" w:rsidRDefault="00D37B61" w:rsidP="00232C73">
            <w:pPr>
              <w:pStyle w:val="ListParagraph"/>
              <w:numPr>
                <w:ilvl w:val="0"/>
                <w:numId w:val="6"/>
              </w:numPr>
              <w:ind w:left="406"/>
              <w:contextualSpacing w:val="0"/>
              <w:rPr>
                <w:b/>
                <w:bCs/>
              </w:rPr>
            </w:pPr>
            <w:r>
              <w:rPr>
                <w:b/>
                <w:bCs/>
              </w:rPr>
              <w:t xml:space="preserve">Other </w:t>
            </w:r>
            <w:r>
              <w:t>Treatment Type has no corresponding Regimen , Patients should use this as instructed by their HTC</w:t>
            </w:r>
          </w:p>
        </w:tc>
      </w:tr>
      <w:tr w:rsidR="00D37B61" w:rsidTr="00232C73">
        <w:tc>
          <w:tcPr>
            <w:tcW w:w="984" w:type="dxa"/>
            <w:vAlign w:val="center"/>
          </w:tcPr>
          <w:p w:rsidR="00D37B61" w:rsidRPr="00D37B61" w:rsidRDefault="00D37B61" w:rsidP="00C845A0">
            <w:pPr>
              <w:rPr>
                <w:sz w:val="56"/>
                <w:szCs w:val="56"/>
              </w:rPr>
            </w:pPr>
            <w:r w:rsidRPr="00D37B61">
              <w:rPr>
                <w:sz w:val="56"/>
                <w:szCs w:val="56"/>
              </w:rPr>
              <w:sym w:font="Wingdings" w:char="F06F"/>
            </w:r>
          </w:p>
        </w:tc>
        <w:tc>
          <w:tcPr>
            <w:tcW w:w="3146" w:type="dxa"/>
            <w:vAlign w:val="center"/>
          </w:tcPr>
          <w:p w:rsidR="00D37B61" w:rsidRDefault="009E021D" w:rsidP="009E021D">
            <w:r>
              <w:t>MyABDR u</w:t>
            </w:r>
            <w:r w:rsidR="00A87D68">
              <w:t>sers understand</w:t>
            </w:r>
            <w:r w:rsidR="00D37B61">
              <w:t xml:space="preserve"> that MyABDR records cannot be edited in ABDR by HTC staff</w:t>
            </w:r>
            <w:r>
              <w:t>?</w:t>
            </w:r>
          </w:p>
        </w:tc>
        <w:tc>
          <w:tcPr>
            <w:tcW w:w="5935" w:type="dxa"/>
            <w:vAlign w:val="center"/>
          </w:tcPr>
          <w:p w:rsidR="00D37B61" w:rsidRDefault="00D37B61" w:rsidP="00972C3E">
            <w:r>
              <w:t>Contact the patient if you notice errors.</w:t>
            </w:r>
          </w:p>
        </w:tc>
      </w:tr>
      <w:tr w:rsidR="00D37B61" w:rsidTr="00232C73">
        <w:tc>
          <w:tcPr>
            <w:tcW w:w="984" w:type="dxa"/>
            <w:vAlign w:val="center"/>
          </w:tcPr>
          <w:p w:rsidR="00D37B61" w:rsidRPr="00D37B61" w:rsidRDefault="00D37B61" w:rsidP="00C845A0">
            <w:pPr>
              <w:rPr>
                <w:sz w:val="56"/>
                <w:szCs w:val="56"/>
              </w:rPr>
            </w:pPr>
            <w:r w:rsidRPr="00D37B61">
              <w:rPr>
                <w:sz w:val="56"/>
                <w:szCs w:val="56"/>
              </w:rPr>
              <w:sym w:font="Wingdings" w:char="F06F"/>
            </w:r>
          </w:p>
        </w:tc>
        <w:tc>
          <w:tcPr>
            <w:tcW w:w="3146" w:type="dxa"/>
            <w:vAlign w:val="center"/>
          </w:tcPr>
          <w:p w:rsidR="00D37B61" w:rsidRDefault="009E021D" w:rsidP="00D37B61">
            <w:r>
              <w:t xml:space="preserve">MyABDR user understands that </w:t>
            </w:r>
            <w:r w:rsidR="00D37B61">
              <w:t>ABDR data cannot be edited by MyABDR users</w:t>
            </w:r>
          </w:p>
        </w:tc>
        <w:tc>
          <w:tcPr>
            <w:tcW w:w="5935" w:type="dxa"/>
            <w:vAlign w:val="center"/>
          </w:tcPr>
          <w:p w:rsidR="00B467E4" w:rsidRDefault="00D37B61" w:rsidP="00D37B61">
            <w:r>
              <w:t xml:space="preserve">Understand that MyABDR uses may contact the HTC if they notice errors to request an update. </w:t>
            </w:r>
          </w:p>
          <w:p w:rsidR="00D37B61" w:rsidRDefault="00855DF1" w:rsidP="00B467E4">
            <w:r w:rsidRPr="00855DF1">
              <w:rPr>
                <w:b/>
              </w:rPr>
              <w:t>Note:</w:t>
            </w:r>
            <w:r>
              <w:t xml:space="preserve"> </w:t>
            </w:r>
            <w:r w:rsidR="00D37B61">
              <w:t xml:space="preserve">This process is described in point </w:t>
            </w:r>
            <w:r w:rsidR="00B467E4">
              <w:t xml:space="preserve">17 </w:t>
            </w:r>
            <w:r w:rsidR="009D6703">
              <w:t>of the MyABDR Terms and Conditions.</w:t>
            </w:r>
          </w:p>
        </w:tc>
      </w:tr>
      <w:tr w:rsidR="00D37B61" w:rsidTr="00232C73">
        <w:tc>
          <w:tcPr>
            <w:tcW w:w="984" w:type="dxa"/>
            <w:vAlign w:val="center"/>
          </w:tcPr>
          <w:p w:rsidR="00D37B61" w:rsidRPr="00D37B61" w:rsidRDefault="00D37B61" w:rsidP="00C845A0">
            <w:pPr>
              <w:rPr>
                <w:sz w:val="56"/>
                <w:szCs w:val="56"/>
              </w:rPr>
            </w:pPr>
            <w:r w:rsidRPr="00D37B61">
              <w:rPr>
                <w:sz w:val="56"/>
                <w:szCs w:val="56"/>
              </w:rPr>
              <w:sym w:font="Wingdings" w:char="F06F"/>
            </w:r>
          </w:p>
        </w:tc>
        <w:tc>
          <w:tcPr>
            <w:tcW w:w="3146" w:type="dxa"/>
            <w:vAlign w:val="center"/>
          </w:tcPr>
          <w:p w:rsidR="00D37B61" w:rsidRDefault="00C41AB9" w:rsidP="00855DF1">
            <w:r>
              <w:t>MyABDR u</w:t>
            </w:r>
            <w:r w:rsidR="009E021D">
              <w:t xml:space="preserve">sers understand </w:t>
            </w:r>
            <w:r w:rsidR="006222EB">
              <w:t xml:space="preserve">it is their responsibility to record their treatments in MyABDR </w:t>
            </w:r>
            <w:r w:rsidR="00855DF1">
              <w:t>when</w:t>
            </w:r>
            <w:r w:rsidR="006222EB">
              <w:t xml:space="preserve"> </w:t>
            </w:r>
            <w:r w:rsidR="009E021D">
              <w:t xml:space="preserve">product </w:t>
            </w:r>
            <w:r w:rsidR="00855DF1">
              <w:t>supplied to them</w:t>
            </w:r>
            <w:r w:rsidR="00972C3E">
              <w:t xml:space="preserve"> is used</w:t>
            </w:r>
            <w:r w:rsidR="00855DF1">
              <w:t>.</w:t>
            </w:r>
            <w:r w:rsidR="006222EB">
              <w:t xml:space="preserve"> </w:t>
            </w:r>
          </w:p>
        </w:tc>
        <w:tc>
          <w:tcPr>
            <w:tcW w:w="5935" w:type="dxa"/>
            <w:vAlign w:val="center"/>
          </w:tcPr>
          <w:p w:rsidR="00D37B61" w:rsidRDefault="006E2A79" w:rsidP="00D37B61">
            <w:r>
              <w:t xml:space="preserve">In contrast, when a patient receives a treatment that was administered using product supplied by the HTC, the HTC staff are responsible for recording the treatments in ABDR. </w:t>
            </w:r>
          </w:p>
        </w:tc>
      </w:tr>
      <w:tr w:rsidR="009D6703" w:rsidTr="00232C73">
        <w:tc>
          <w:tcPr>
            <w:tcW w:w="984" w:type="dxa"/>
            <w:vAlign w:val="center"/>
          </w:tcPr>
          <w:p w:rsidR="009D6703" w:rsidRPr="00D37B61" w:rsidRDefault="009D6703" w:rsidP="00C845A0">
            <w:pPr>
              <w:rPr>
                <w:sz w:val="56"/>
                <w:szCs w:val="56"/>
              </w:rPr>
            </w:pPr>
            <w:r w:rsidRPr="00D37B61">
              <w:rPr>
                <w:sz w:val="56"/>
                <w:szCs w:val="56"/>
              </w:rPr>
              <w:sym w:font="Wingdings" w:char="F06F"/>
            </w:r>
          </w:p>
        </w:tc>
        <w:tc>
          <w:tcPr>
            <w:tcW w:w="3146" w:type="dxa"/>
            <w:vAlign w:val="center"/>
          </w:tcPr>
          <w:p w:rsidR="009D6703" w:rsidRDefault="006222EB" w:rsidP="00C41AB9">
            <w:r>
              <w:t>MyABDR user</w:t>
            </w:r>
            <w:r w:rsidR="00C41AB9">
              <w:t>s</w:t>
            </w:r>
            <w:r>
              <w:t xml:space="preserve"> understand w</w:t>
            </w:r>
            <w:r w:rsidR="00017A04">
              <w:t xml:space="preserve">hat to do if </w:t>
            </w:r>
            <w:r>
              <w:t xml:space="preserve">they are recording treatments </w:t>
            </w:r>
            <w:r w:rsidR="00017A04">
              <w:t>in regional hospitals, e</w:t>
            </w:r>
            <w:r>
              <w:t>.</w:t>
            </w:r>
            <w:r w:rsidR="00017A04">
              <w:t>g</w:t>
            </w:r>
            <w:r>
              <w:t>.</w:t>
            </w:r>
            <w:r w:rsidR="00017A04">
              <w:t xml:space="preserve"> record treatment in MyABDR because it will not be done by HTC staff?</w:t>
            </w:r>
          </w:p>
        </w:tc>
        <w:tc>
          <w:tcPr>
            <w:tcW w:w="5935" w:type="dxa"/>
            <w:vAlign w:val="center"/>
          </w:tcPr>
          <w:p w:rsidR="009D6703" w:rsidRDefault="006222EB" w:rsidP="00017A04">
            <w:r>
              <w:t>Patients and their carers should be instructed by their HTC on how to manage these circumstances.</w:t>
            </w:r>
          </w:p>
        </w:tc>
      </w:tr>
    </w:tbl>
    <w:p w:rsidR="00B467E4" w:rsidRDefault="00B467E4" w:rsidP="004B38CC"/>
    <w:p w:rsidR="00017A04" w:rsidRDefault="00017A04" w:rsidP="00017A04">
      <w:pPr>
        <w:pStyle w:val="Heading1"/>
      </w:pPr>
      <w:r>
        <w:t>Considerations for Patients using the MyABDR Treatment Diary</w:t>
      </w:r>
    </w:p>
    <w:tbl>
      <w:tblPr>
        <w:tblStyle w:val="TableGrid"/>
        <w:tblW w:w="9854" w:type="dxa"/>
        <w:tblLook w:val="04A0" w:firstRow="1" w:lastRow="0" w:firstColumn="1" w:lastColumn="0" w:noHBand="0" w:noVBand="1"/>
      </w:tblPr>
      <w:tblGrid>
        <w:gridCol w:w="984"/>
        <w:gridCol w:w="3146"/>
        <w:gridCol w:w="5724"/>
      </w:tblGrid>
      <w:tr w:rsidR="006222EB" w:rsidTr="009B5DB0">
        <w:tc>
          <w:tcPr>
            <w:tcW w:w="984" w:type="dxa"/>
          </w:tcPr>
          <w:p w:rsidR="006222EB" w:rsidRDefault="006222EB" w:rsidP="00E72A71">
            <w:pPr>
              <w:pStyle w:val="Heading3"/>
              <w:outlineLvl w:val="2"/>
            </w:pPr>
          </w:p>
        </w:tc>
        <w:tc>
          <w:tcPr>
            <w:tcW w:w="3146" w:type="dxa"/>
          </w:tcPr>
          <w:p w:rsidR="006222EB" w:rsidRDefault="006222EB" w:rsidP="00E72A71">
            <w:pPr>
              <w:pStyle w:val="Heading3"/>
              <w:outlineLvl w:val="2"/>
            </w:pPr>
            <w:r>
              <w:t>Have you confirmed…</w:t>
            </w:r>
          </w:p>
        </w:tc>
        <w:tc>
          <w:tcPr>
            <w:tcW w:w="5724" w:type="dxa"/>
          </w:tcPr>
          <w:p w:rsidR="006222EB" w:rsidRDefault="006222EB" w:rsidP="00E72A71">
            <w:pPr>
              <w:pStyle w:val="Heading3"/>
              <w:outlineLvl w:val="2"/>
            </w:pPr>
            <w:r>
              <w:t>Tips</w:t>
            </w:r>
          </w:p>
        </w:tc>
      </w:tr>
      <w:tr w:rsidR="00017A04" w:rsidTr="009B5DB0">
        <w:tc>
          <w:tcPr>
            <w:tcW w:w="984" w:type="dxa"/>
            <w:vAlign w:val="center"/>
          </w:tcPr>
          <w:p w:rsidR="00017A04" w:rsidRPr="00D37B61" w:rsidRDefault="00017A04" w:rsidP="00017A04">
            <w:pPr>
              <w:rPr>
                <w:sz w:val="56"/>
                <w:szCs w:val="56"/>
              </w:rPr>
            </w:pPr>
            <w:r w:rsidRPr="00D37B61">
              <w:rPr>
                <w:sz w:val="56"/>
                <w:szCs w:val="56"/>
              </w:rPr>
              <w:sym w:font="Wingdings" w:char="F06F"/>
            </w:r>
          </w:p>
        </w:tc>
        <w:tc>
          <w:tcPr>
            <w:tcW w:w="3146" w:type="dxa"/>
            <w:vAlign w:val="center"/>
          </w:tcPr>
          <w:p w:rsidR="00017A04" w:rsidRDefault="00860034" w:rsidP="00E72A71">
            <w:r>
              <w:t>Those patients</w:t>
            </w:r>
            <w:r w:rsidR="00017A04">
              <w:t xml:space="preserve"> using the </w:t>
            </w:r>
            <w:r w:rsidR="00107BF7">
              <w:t xml:space="preserve">MyABDR </w:t>
            </w:r>
            <w:r w:rsidR="00017A04">
              <w:t>Treatment Diary</w:t>
            </w:r>
            <w:r w:rsidR="006222EB">
              <w:t xml:space="preserve"> understand </w:t>
            </w:r>
            <w:r>
              <w:t xml:space="preserve">how </w:t>
            </w:r>
            <w:r w:rsidR="006222EB">
              <w:t>the</w:t>
            </w:r>
            <w:r>
              <w:t xml:space="preserve"> diaries</w:t>
            </w:r>
            <w:r w:rsidR="00017A04">
              <w:t xml:space="preserve"> </w:t>
            </w:r>
            <w:r>
              <w:t xml:space="preserve">will </w:t>
            </w:r>
            <w:r w:rsidR="00017A04">
              <w:t>be used and managed</w:t>
            </w:r>
            <w:r w:rsidR="00B467E4">
              <w:t xml:space="preserve"> by your HTC</w:t>
            </w:r>
            <w:r w:rsidR="00017A04">
              <w:t xml:space="preserve">?  </w:t>
            </w:r>
          </w:p>
          <w:p w:rsidR="00017A04" w:rsidRDefault="00017A04" w:rsidP="00E72A71"/>
        </w:tc>
        <w:tc>
          <w:tcPr>
            <w:tcW w:w="5724" w:type="dxa"/>
            <w:vAlign w:val="center"/>
          </w:tcPr>
          <w:p w:rsidR="00107BF7" w:rsidRDefault="00107BF7" w:rsidP="00107BF7">
            <w:r>
              <w:t>For example, will patients be required to:</w:t>
            </w:r>
          </w:p>
          <w:p w:rsidR="00017A04" w:rsidRDefault="00860034" w:rsidP="00E72A71">
            <w:pPr>
              <w:pStyle w:val="ListParagraph"/>
              <w:numPr>
                <w:ilvl w:val="0"/>
                <w:numId w:val="6"/>
              </w:numPr>
              <w:contextualSpacing w:val="0"/>
            </w:pPr>
            <w:r>
              <w:t>Bring completed diar</w:t>
            </w:r>
            <w:r w:rsidR="00017A04">
              <w:t>ies to clinic visits and then keep them at home as their own personal record?</w:t>
            </w:r>
            <w:r w:rsidR="00017A04">
              <w:br/>
              <w:t xml:space="preserve">or </w:t>
            </w:r>
          </w:p>
          <w:p w:rsidR="00017A04" w:rsidRDefault="00860034" w:rsidP="00E72A71">
            <w:pPr>
              <w:pStyle w:val="ListParagraph"/>
              <w:numPr>
                <w:ilvl w:val="0"/>
                <w:numId w:val="6"/>
              </w:numPr>
              <w:contextualSpacing w:val="0"/>
            </w:pPr>
            <w:r>
              <w:t>Send</w:t>
            </w:r>
            <w:r w:rsidR="00017A04">
              <w:t xml:space="preserve"> diaries to HTC as they’re completed?</w:t>
            </w:r>
            <w:r w:rsidR="00017A04">
              <w:br/>
              <w:t>and</w:t>
            </w:r>
          </w:p>
          <w:p w:rsidR="00017A04" w:rsidRDefault="00860034" w:rsidP="00E72A71">
            <w:pPr>
              <w:pStyle w:val="ListParagraph"/>
              <w:numPr>
                <w:ilvl w:val="0"/>
                <w:numId w:val="6"/>
              </w:numPr>
              <w:contextualSpacing w:val="0"/>
            </w:pPr>
            <w:r>
              <w:t>Will</w:t>
            </w:r>
            <w:r w:rsidR="00017A04">
              <w:t xml:space="preserve"> HTCs scan or record the data in some way?</w:t>
            </w:r>
          </w:p>
          <w:p w:rsidR="00017A04" w:rsidRDefault="00860034" w:rsidP="00860034">
            <w:pPr>
              <w:spacing w:after="240"/>
              <w:ind w:left="360"/>
            </w:pPr>
            <w:r w:rsidRPr="00860034">
              <w:rPr>
                <w:b/>
              </w:rPr>
              <w:t>Note:</w:t>
            </w:r>
            <w:r>
              <w:t xml:space="preserve"> </w:t>
            </w:r>
            <w:r w:rsidR="00017A04">
              <w:t xml:space="preserve"> there i</w:t>
            </w:r>
            <w:r w:rsidR="00A87D68">
              <w:t>s no data entry facility in ABDR for MyABDR diaries.</w:t>
            </w:r>
            <w:r w:rsidR="006222EB">
              <w:t xml:space="preserve">  </w:t>
            </w:r>
          </w:p>
          <w:p w:rsidR="00017A04" w:rsidRDefault="00017A04" w:rsidP="00E72A71"/>
        </w:tc>
      </w:tr>
    </w:tbl>
    <w:p w:rsidR="00017A04" w:rsidRPr="00017A04" w:rsidRDefault="00017A04" w:rsidP="00875844"/>
    <w:sectPr w:rsidR="00017A04" w:rsidRPr="00017A04" w:rsidSect="00D37B61">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D0" w:rsidRDefault="002408D0" w:rsidP="00856708">
      <w:r>
        <w:separator/>
      </w:r>
    </w:p>
  </w:endnote>
  <w:endnote w:type="continuationSeparator" w:id="0">
    <w:p w:rsidR="002408D0" w:rsidRDefault="002408D0"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C07601">
      <w:rPr>
        <w:noProof/>
        <w:sz w:val="20"/>
        <w:szCs w:val="20"/>
      </w:rPr>
      <w:t>3</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D0" w:rsidRDefault="002408D0" w:rsidP="00856708">
      <w:r>
        <w:separator/>
      </w:r>
    </w:p>
  </w:footnote>
  <w:footnote w:type="continuationSeparator" w:id="0">
    <w:p w:rsidR="002408D0" w:rsidRDefault="002408D0" w:rsidP="0085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150"/>
    <w:multiLevelType w:val="hybridMultilevel"/>
    <w:tmpl w:val="71BCB8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980D9F"/>
    <w:multiLevelType w:val="hybridMultilevel"/>
    <w:tmpl w:val="9B20C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D0"/>
    <w:rsid w:val="00017A04"/>
    <w:rsid w:val="00036EDC"/>
    <w:rsid w:val="00107BF7"/>
    <w:rsid w:val="00207742"/>
    <w:rsid w:val="00232C73"/>
    <w:rsid w:val="002408D0"/>
    <w:rsid w:val="002537F2"/>
    <w:rsid w:val="00295CD3"/>
    <w:rsid w:val="003767FE"/>
    <w:rsid w:val="003B2DFF"/>
    <w:rsid w:val="003D27F1"/>
    <w:rsid w:val="004451C5"/>
    <w:rsid w:val="004B38CC"/>
    <w:rsid w:val="004D4636"/>
    <w:rsid w:val="00540020"/>
    <w:rsid w:val="006222EB"/>
    <w:rsid w:val="006E2A79"/>
    <w:rsid w:val="007C29C9"/>
    <w:rsid w:val="00822A2D"/>
    <w:rsid w:val="00855DF1"/>
    <w:rsid w:val="00856708"/>
    <w:rsid w:val="00860034"/>
    <w:rsid w:val="00875844"/>
    <w:rsid w:val="00893E0A"/>
    <w:rsid w:val="00951B85"/>
    <w:rsid w:val="00972C3E"/>
    <w:rsid w:val="009B5DB0"/>
    <w:rsid w:val="009D6703"/>
    <w:rsid w:val="009E021D"/>
    <w:rsid w:val="009E38CC"/>
    <w:rsid w:val="00A421D3"/>
    <w:rsid w:val="00A87D68"/>
    <w:rsid w:val="00B3726E"/>
    <w:rsid w:val="00B467E4"/>
    <w:rsid w:val="00C07601"/>
    <w:rsid w:val="00C41AB9"/>
    <w:rsid w:val="00C845A0"/>
    <w:rsid w:val="00D3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CC"/>
    <w:pPr>
      <w:spacing w:after="0" w:line="240" w:lineRule="auto"/>
    </w:pPr>
    <w:rPr>
      <w:rFonts w:ascii="Calibri"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2408D0"/>
    <w:rPr>
      <w:rFonts w:ascii="Tahoma" w:hAnsi="Tahoma" w:cs="Tahoma"/>
      <w:sz w:val="16"/>
      <w:szCs w:val="16"/>
    </w:rPr>
  </w:style>
  <w:style w:type="character" w:customStyle="1" w:styleId="BalloonTextChar">
    <w:name w:val="Balloon Text Char"/>
    <w:basedOn w:val="DefaultParagraphFont"/>
    <w:link w:val="BalloonText"/>
    <w:uiPriority w:val="99"/>
    <w:semiHidden/>
    <w:rsid w:val="002408D0"/>
    <w:rPr>
      <w:rFonts w:ascii="Tahoma" w:eastAsia="Dotum"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8CC"/>
    <w:pPr>
      <w:spacing w:after="0" w:line="240" w:lineRule="auto"/>
    </w:pPr>
    <w:rPr>
      <w:rFonts w:ascii="Calibri"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2408D0"/>
    <w:rPr>
      <w:rFonts w:ascii="Tahoma" w:hAnsi="Tahoma" w:cs="Tahoma"/>
      <w:sz w:val="16"/>
      <w:szCs w:val="16"/>
    </w:rPr>
  </w:style>
  <w:style w:type="character" w:customStyle="1" w:styleId="BalloonTextChar">
    <w:name w:val="Balloon Text Char"/>
    <w:basedOn w:val="DefaultParagraphFont"/>
    <w:link w:val="BalloonText"/>
    <w:uiPriority w:val="99"/>
    <w:semiHidden/>
    <w:rsid w:val="002408D0"/>
    <w:rPr>
      <w:rFonts w:ascii="Tahoma" w:eastAsia="Dotum"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3857</Characters>
  <Application>Microsoft Office Word</Application>
  <DocSecurity>4</DocSecurity>
  <Lines>160</Lines>
  <Paragraphs>64</Paragraphs>
  <ScaleCrop>false</ScaleCrop>
  <HeadingPairs>
    <vt:vector size="2" baseType="variant">
      <vt:variant>
        <vt:lpstr>Title</vt:lpstr>
      </vt:variant>
      <vt:variant>
        <vt:i4>1</vt:i4>
      </vt:variant>
    </vt:vector>
  </HeadingPairs>
  <TitlesOfParts>
    <vt:vector size="1" baseType="lpstr">
      <vt:lpstr>Check lists for HTCs for ABDR/MyABDR</vt:lpstr>
    </vt:vector>
  </TitlesOfParts>
  <Company>National Blood Authority, Australia</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lists for HTCs for ABDR/MyABDR</dc:title>
  <dc:creator>National Blood Authority</dc:creator>
  <cp:lastModifiedBy>Peter O'Halloran</cp:lastModifiedBy>
  <cp:revision>2</cp:revision>
  <cp:lastPrinted>2014-02-28T00:28:00Z</cp:lastPrinted>
  <dcterms:created xsi:type="dcterms:W3CDTF">2014-03-05T04:21:00Z</dcterms:created>
  <dcterms:modified xsi:type="dcterms:W3CDTF">2014-03-05T04:21:00Z</dcterms:modified>
</cp:coreProperties>
</file>