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F9" w:rsidRDefault="00E051F9" w:rsidP="00AC65E3">
      <w:pPr>
        <w:jc w:val="center"/>
        <w:rPr>
          <w:b/>
        </w:rPr>
      </w:pPr>
    </w:p>
    <w:p w:rsidR="00E051F9" w:rsidRDefault="00E051F9" w:rsidP="00AC65E3">
      <w:pPr>
        <w:jc w:val="center"/>
        <w:rPr>
          <w:b/>
        </w:rPr>
      </w:pPr>
    </w:p>
    <w:p w:rsidR="00E051F9" w:rsidRDefault="00E051F9" w:rsidP="00AC65E3">
      <w:pPr>
        <w:jc w:val="center"/>
        <w:rPr>
          <w:b/>
        </w:rPr>
      </w:pPr>
    </w:p>
    <w:p w:rsidR="00E051F9" w:rsidRDefault="00E95B24" w:rsidP="00AC65E3">
      <w:pPr>
        <w:jc w:val="center"/>
        <w:rPr>
          <w:b/>
        </w:rPr>
      </w:pPr>
      <w:r>
        <w:pict w14:anchorId="5E1A7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97.4pt;height:98.2pt;visibility:visible" o:allowoverlap="f">
            <v:imagedata r:id="rId8" o:title="Australian Bleeding Disorders Registry"/>
          </v:shape>
        </w:pict>
      </w:r>
    </w:p>
    <w:p w:rsidR="00E051F9" w:rsidRDefault="00E051F9" w:rsidP="00AC65E3">
      <w:pPr>
        <w:jc w:val="center"/>
        <w:rPr>
          <w:b/>
        </w:rPr>
      </w:pPr>
    </w:p>
    <w:p w:rsidR="002C4FEF" w:rsidRDefault="002C4FEF" w:rsidP="00AC65E3">
      <w:pPr>
        <w:jc w:val="center"/>
        <w:rPr>
          <w:b/>
        </w:rPr>
      </w:pPr>
      <w:bookmarkStart w:id="0" w:name="_Toc405284945"/>
      <w:r w:rsidRPr="00471628">
        <w:rPr>
          <w:noProof/>
          <w:szCs w:val="56"/>
        </w:rPr>
        <w:drawing>
          <wp:anchor distT="0" distB="0" distL="114300" distR="114300" simplePos="0" relativeHeight="251659264" behindDoc="0" locked="0" layoutInCell="1" allowOverlap="1" wp14:anchorId="068740E2" wp14:editId="0DD0C60B">
            <wp:simplePos x="0" y="0"/>
            <wp:positionH relativeFrom="column">
              <wp:posOffset>542925</wp:posOffset>
            </wp:positionH>
            <wp:positionV relativeFrom="paragraph">
              <wp:posOffset>109220</wp:posOffset>
            </wp:positionV>
            <wp:extent cx="4891496" cy="1304925"/>
            <wp:effectExtent l="0" t="0" r="4445" b="0"/>
            <wp:wrapNone/>
            <wp:docPr id="4" name="Picture 4" descr="C:\Users\82181596\AppData\Local\Microsoft\Windows\Temporary Internet Files\Content.Outlook\JDT26RYB\MyABDR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2181596\AppData\Local\Microsoft\Windows\Temporary Internet Files\Content.Outlook\JDT26RYB\MyABDR_si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4118" cy="130562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C4FEF" w:rsidRDefault="002C4FEF" w:rsidP="00AC65E3">
      <w:pPr>
        <w:jc w:val="center"/>
        <w:rPr>
          <w:b/>
        </w:rPr>
      </w:pPr>
    </w:p>
    <w:p w:rsidR="003D1379" w:rsidRDefault="003D1379" w:rsidP="00AC65E3">
      <w:pPr>
        <w:jc w:val="center"/>
        <w:rPr>
          <w:b/>
        </w:rPr>
      </w:pPr>
    </w:p>
    <w:p w:rsidR="003D1379" w:rsidRDefault="003D1379" w:rsidP="00AC65E3">
      <w:pPr>
        <w:jc w:val="center"/>
        <w:rPr>
          <w:b/>
        </w:rPr>
      </w:pPr>
    </w:p>
    <w:p w:rsidR="003D1379" w:rsidRDefault="003D1379" w:rsidP="00AC65E3">
      <w:pPr>
        <w:jc w:val="center"/>
        <w:rPr>
          <w:b/>
        </w:rPr>
      </w:pPr>
    </w:p>
    <w:p w:rsidR="00E051F9" w:rsidRDefault="00E051F9" w:rsidP="00E051F9">
      <w:pPr>
        <w:jc w:val="center"/>
        <w:rPr>
          <w:b/>
          <w:sz w:val="48"/>
          <w:szCs w:val="48"/>
        </w:rPr>
      </w:pPr>
    </w:p>
    <w:p w:rsidR="002C4FEF" w:rsidRPr="00E051F9" w:rsidRDefault="002C4FEF" w:rsidP="00E051F9">
      <w:pPr>
        <w:jc w:val="center"/>
        <w:rPr>
          <w:b/>
          <w:sz w:val="48"/>
          <w:szCs w:val="48"/>
        </w:rPr>
      </w:pPr>
    </w:p>
    <w:p w:rsidR="003D1379" w:rsidRDefault="00E051F9" w:rsidP="00E051F9">
      <w:pPr>
        <w:jc w:val="center"/>
        <w:rPr>
          <w:b/>
          <w:sz w:val="72"/>
          <w:szCs w:val="72"/>
        </w:rPr>
      </w:pPr>
      <w:r w:rsidRPr="003D1379">
        <w:rPr>
          <w:b/>
          <w:sz w:val="72"/>
          <w:szCs w:val="72"/>
        </w:rPr>
        <w:t xml:space="preserve">GOVERNANCE </w:t>
      </w:r>
    </w:p>
    <w:p w:rsidR="00E051F9" w:rsidRPr="003D1379" w:rsidRDefault="00E051F9" w:rsidP="00E051F9">
      <w:pPr>
        <w:jc w:val="center"/>
        <w:rPr>
          <w:b/>
          <w:sz w:val="72"/>
          <w:szCs w:val="72"/>
        </w:rPr>
      </w:pPr>
      <w:r w:rsidRPr="003D1379">
        <w:rPr>
          <w:b/>
          <w:sz w:val="72"/>
          <w:szCs w:val="72"/>
        </w:rPr>
        <w:t>ARRANGEMENTS</w:t>
      </w:r>
    </w:p>
    <w:p w:rsidR="00E051F9" w:rsidRDefault="002C4FEF" w:rsidP="00AC65E3">
      <w:pPr>
        <w:jc w:val="center"/>
        <w:rPr>
          <w:b/>
        </w:rPr>
      </w:pPr>
      <w:r>
        <w:rPr>
          <w:b/>
        </w:rPr>
        <w:t>Version 3.0 as</w:t>
      </w:r>
      <w:r w:rsidR="00CB1E33">
        <w:rPr>
          <w:b/>
        </w:rPr>
        <w:t xml:space="preserve"> at </w:t>
      </w:r>
      <w:r w:rsidR="00C205A7">
        <w:rPr>
          <w:b/>
        </w:rPr>
        <w:t>21 January 2015</w:t>
      </w:r>
    </w:p>
    <w:p w:rsidR="00E051F9" w:rsidRDefault="00E051F9" w:rsidP="00AC65E3">
      <w:pPr>
        <w:jc w:val="center"/>
        <w:rPr>
          <w:b/>
        </w:rPr>
      </w:pPr>
    </w:p>
    <w:p w:rsidR="003D1379" w:rsidRDefault="003D1379" w:rsidP="00AC65E3">
      <w:pPr>
        <w:jc w:val="center"/>
        <w:rPr>
          <w:b/>
        </w:rPr>
      </w:pPr>
    </w:p>
    <w:p w:rsidR="003D1379" w:rsidRDefault="003D1379" w:rsidP="00AC65E3">
      <w:pPr>
        <w:jc w:val="center"/>
        <w:rPr>
          <w:b/>
        </w:rPr>
      </w:pPr>
    </w:p>
    <w:p w:rsidR="00E051F9" w:rsidRDefault="00E051F9" w:rsidP="00AC65E3">
      <w:pPr>
        <w:jc w:val="center"/>
        <w:rPr>
          <w:b/>
        </w:rPr>
      </w:pPr>
    </w:p>
    <w:p w:rsidR="00E051F9" w:rsidRDefault="00E051F9" w:rsidP="00AC65E3">
      <w:pPr>
        <w:jc w:val="center"/>
        <w:rPr>
          <w:b/>
        </w:rPr>
      </w:pPr>
    </w:p>
    <w:p w:rsidR="00E051F9" w:rsidRDefault="00E051F9" w:rsidP="00AC65E3">
      <w:pPr>
        <w:jc w:val="center"/>
        <w:rPr>
          <w:b/>
        </w:rPr>
      </w:pPr>
    </w:p>
    <w:p w:rsidR="00E051F9" w:rsidRDefault="00E051F9" w:rsidP="00AC65E3">
      <w:pPr>
        <w:jc w:val="center"/>
        <w:rPr>
          <w:b/>
        </w:rPr>
      </w:pPr>
    </w:p>
    <w:p w:rsidR="00E051F9" w:rsidRDefault="00E051F9" w:rsidP="00AC65E3">
      <w:pPr>
        <w:jc w:val="center"/>
        <w:rPr>
          <w:b/>
        </w:rPr>
      </w:pPr>
    </w:p>
    <w:p w:rsidR="002C4FEF" w:rsidRPr="002C4FEF" w:rsidRDefault="002C4FEF" w:rsidP="002C4FEF">
      <w:pPr>
        <w:spacing w:before="0" w:after="200"/>
        <w:rPr>
          <w:rFonts w:ascii="Calibri" w:eastAsia="Dotum" w:hAnsi="Calibri" w:cs="Calibri"/>
          <w:sz w:val="56"/>
          <w:szCs w:val="56"/>
          <w:lang w:eastAsia="en-US"/>
        </w:rPr>
      </w:pPr>
      <w:r w:rsidRPr="002C4FEF">
        <w:rPr>
          <w:rFonts w:ascii="Calibri" w:eastAsia="Dotum" w:hAnsi="Calibri" w:cs="Calibri"/>
          <w:noProof/>
          <w:sz w:val="22"/>
          <w:szCs w:val="22"/>
        </w:rPr>
        <w:drawing>
          <wp:inline distT="0" distB="0" distL="0" distR="0" wp14:anchorId="7BDACF84" wp14:editId="1457ED12">
            <wp:extent cx="1223158" cy="681937"/>
            <wp:effectExtent l="0" t="0" r="0" b="4445"/>
            <wp:docPr id="1" name="Picture 1" descr="ahcd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cdo-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619" cy="692787"/>
                    </a:xfrm>
                    <a:prstGeom prst="rect">
                      <a:avLst/>
                    </a:prstGeom>
                    <a:noFill/>
                    <a:ln>
                      <a:noFill/>
                    </a:ln>
                  </pic:spPr>
                </pic:pic>
              </a:graphicData>
            </a:graphic>
          </wp:inline>
        </w:drawing>
      </w:r>
      <w:r w:rsidRPr="002C4FEF">
        <w:rPr>
          <w:rFonts w:ascii="Calibri" w:eastAsia="Dotum" w:hAnsi="Calibri" w:cs="Calibri"/>
          <w:sz w:val="56"/>
          <w:szCs w:val="56"/>
          <w:lang w:eastAsia="en-US"/>
        </w:rPr>
        <w:t xml:space="preserve">    </w:t>
      </w:r>
      <w:r w:rsidRPr="002C4FEF">
        <w:rPr>
          <w:rFonts w:ascii="Calibri" w:eastAsia="Dotum" w:hAnsi="Calibri" w:cs="Calibri"/>
          <w:noProof/>
          <w:sz w:val="22"/>
          <w:szCs w:val="22"/>
        </w:rPr>
        <w:drawing>
          <wp:inline distT="0" distB="0" distL="0" distR="0" wp14:anchorId="0C2E9798" wp14:editId="727A63B4">
            <wp:extent cx="1710055" cy="783590"/>
            <wp:effectExtent l="0" t="0" r="4445" b="0"/>
            <wp:docPr id="2" name="Picture 2" descr="Haemophilia Found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emophilia Foundation Austra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055" cy="783590"/>
                    </a:xfrm>
                    <a:prstGeom prst="rect">
                      <a:avLst/>
                    </a:prstGeom>
                    <a:noFill/>
                    <a:ln>
                      <a:noFill/>
                    </a:ln>
                  </pic:spPr>
                </pic:pic>
              </a:graphicData>
            </a:graphic>
          </wp:inline>
        </w:drawing>
      </w:r>
      <w:r w:rsidRPr="002C4FEF">
        <w:rPr>
          <w:rFonts w:ascii="Calibri" w:eastAsia="Dotum" w:hAnsi="Calibri" w:cs="Calibri"/>
          <w:sz w:val="56"/>
          <w:szCs w:val="56"/>
          <w:lang w:eastAsia="en-US"/>
        </w:rPr>
        <w:t xml:space="preserve">    </w:t>
      </w:r>
      <w:r w:rsidRPr="002C4FEF">
        <w:rPr>
          <w:rFonts w:ascii="Calibri" w:eastAsia="Dotum" w:hAnsi="Calibri" w:cs="Calibri"/>
          <w:noProof/>
          <w:sz w:val="56"/>
          <w:szCs w:val="56"/>
        </w:rPr>
        <w:drawing>
          <wp:inline distT="0" distB="0" distL="0" distR="0" wp14:anchorId="5C4FE727" wp14:editId="00639944">
            <wp:extent cx="1963037" cy="637953"/>
            <wp:effectExtent l="0" t="0" r="0" b="0"/>
            <wp:docPr id="3" name="Picture 3" descr="S:\Communications\Logos\NBA\NBA Logo\jpeg_small\NBA-Logo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NBA\NBA Logo\jpeg_small\NBA-Logo_RGB_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3037" cy="637953"/>
                    </a:xfrm>
                    <a:prstGeom prst="rect">
                      <a:avLst/>
                    </a:prstGeom>
                    <a:noFill/>
                    <a:ln>
                      <a:noFill/>
                    </a:ln>
                  </pic:spPr>
                </pic:pic>
              </a:graphicData>
            </a:graphic>
          </wp:inline>
        </w:drawing>
      </w:r>
    </w:p>
    <w:p w:rsidR="002C4FEF" w:rsidRPr="002C4FEF" w:rsidRDefault="002C4FEF" w:rsidP="002C4FEF">
      <w:pPr>
        <w:pStyle w:val="Heading3"/>
        <w:rPr>
          <w:rFonts w:eastAsia="Dotum"/>
          <w:bCs w:val="0"/>
          <w:i w:val="0"/>
          <w:color w:val="C60C30"/>
          <w:sz w:val="28"/>
          <w:szCs w:val="28"/>
          <w:u w:val="none"/>
          <w:lang w:eastAsia="en-US"/>
        </w:rPr>
      </w:pPr>
      <w:r>
        <w:rPr>
          <w:b/>
        </w:rPr>
        <w:br w:type="page"/>
      </w:r>
      <w:bookmarkStart w:id="1" w:name="_Toc405284946"/>
      <w:r w:rsidRPr="002C4FEF">
        <w:rPr>
          <w:rFonts w:eastAsia="Dotum"/>
          <w:bCs w:val="0"/>
          <w:i w:val="0"/>
          <w:color w:val="C60C30"/>
          <w:spacing w:val="-1"/>
          <w:sz w:val="28"/>
          <w:szCs w:val="28"/>
          <w:u w:val="none"/>
          <w:lang w:eastAsia="en-US"/>
        </w:rPr>
        <w:lastRenderedPageBreak/>
        <w:t>C</w:t>
      </w:r>
      <w:r w:rsidRPr="002C4FEF">
        <w:rPr>
          <w:rFonts w:eastAsia="Dotum"/>
          <w:bCs w:val="0"/>
          <w:i w:val="0"/>
          <w:color w:val="C60C30"/>
          <w:spacing w:val="-3"/>
          <w:sz w:val="28"/>
          <w:szCs w:val="28"/>
          <w:u w:val="none"/>
          <w:lang w:eastAsia="en-US"/>
        </w:rPr>
        <w:t>r</w:t>
      </w:r>
      <w:r w:rsidRPr="002C4FEF">
        <w:rPr>
          <w:rFonts w:eastAsia="Dotum"/>
          <w:bCs w:val="0"/>
          <w:i w:val="0"/>
          <w:color w:val="C60C30"/>
          <w:spacing w:val="3"/>
          <w:sz w:val="28"/>
          <w:szCs w:val="28"/>
          <w:u w:val="none"/>
          <w:lang w:eastAsia="en-US"/>
        </w:rPr>
        <w:t>e</w:t>
      </w:r>
      <w:r w:rsidRPr="002C4FEF">
        <w:rPr>
          <w:rFonts w:eastAsia="Dotum"/>
          <w:bCs w:val="0"/>
          <w:i w:val="0"/>
          <w:color w:val="C60C30"/>
          <w:spacing w:val="1"/>
          <w:sz w:val="28"/>
          <w:szCs w:val="28"/>
          <w:u w:val="none"/>
          <w:lang w:eastAsia="en-US"/>
        </w:rPr>
        <w:t>a</w:t>
      </w:r>
      <w:r w:rsidRPr="002C4FEF">
        <w:rPr>
          <w:rFonts w:eastAsia="Dotum"/>
          <w:bCs w:val="0"/>
          <w:i w:val="0"/>
          <w:color w:val="C60C30"/>
          <w:sz w:val="28"/>
          <w:szCs w:val="28"/>
          <w:u w:val="none"/>
          <w:lang w:eastAsia="en-US"/>
        </w:rPr>
        <w:t>tive</w:t>
      </w:r>
      <w:r w:rsidRPr="002C4FEF">
        <w:rPr>
          <w:rFonts w:eastAsia="Dotum"/>
          <w:bCs w:val="0"/>
          <w:i w:val="0"/>
          <w:color w:val="C60C30"/>
          <w:spacing w:val="-18"/>
          <w:sz w:val="28"/>
          <w:szCs w:val="28"/>
          <w:u w:val="none"/>
          <w:lang w:eastAsia="en-US"/>
        </w:rPr>
        <w:t xml:space="preserve"> </w:t>
      </w:r>
      <w:r w:rsidRPr="002C4FEF">
        <w:rPr>
          <w:rFonts w:eastAsia="Dotum"/>
          <w:bCs w:val="0"/>
          <w:i w:val="0"/>
          <w:color w:val="C60C30"/>
          <w:sz w:val="28"/>
          <w:szCs w:val="28"/>
          <w:u w:val="none"/>
          <w:lang w:eastAsia="en-US"/>
        </w:rPr>
        <w:t>Co</w:t>
      </w:r>
      <w:r w:rsidRPr="002C4FEF">
        <w:rPr>
          <w:rFonts w:eastAsia="Dotum"/>
          <w:bCs w:val="0"/>
          <w:i w:val="0"/>
          <w:color w:val="C60C30"/>
          <w:spacing w:val="2"/>
          <w:sz w:val="28"/>
          <w:szCs w:val="28"/>
          <w:u w:val="none"/>
          <w:lang w:eastAsia="en-US"/>
        </w:rPr>
        <w:t>m</w:t>
      </w:r>
      <w:r w:rsidRPr="002C4FEF">
        <w:rPr>
          <w:rFonts w:eastAsia="Dotum"/>
          <w:bCs w:val="0"/>
          <w:i w:val="0"/>
          <w:color w:val="C60C30"/>
          <w:spacing w:val="1"/>
          <w:sz w:val="28"/>
          <w:szCs w:val="28"/>
          <w:u w:val="none"/>
          <w:lang w:eastAsia="en-US"/>
        </w:rPr>
        <w:t>m</w:t>
      </w:r>
      <w:r w:rsidRPr="002C4FEF">
        <w:rPr>
          <w:rFonts w:eastAsia="Dotum"/>
          <w:bCs w:val="0"/>
          <w:i w:val="0"/>
          <w:color w:val="C60C30"/>
          <w:spacing w:val="6"/>
          <w:sz w:val="28"/>
          <w:szCs w:val="28"/>
          <w:u w:val="none"/>
          <w:lang w:eastAsia="en-US"/>
        </w:rPr>
        <w:t>o</w:t>
      </w:r>
      <w:r w:rsidRPr="002C4FEF">
        <w:rPr>
          <w:rFonts w:eastAsia="Dotum"/>
          <w:bCs w:val="0"/>
          <w:i w:val="0"/>
          <w:color w:val="C60C30"/>
          <w:spacing w:val="2"/>
          <w:sz w:val="28"/>
          <w:szCs w:val="28"/>
          <w:u w:val="none"/>
          <w:lang w:eastAsia="en-US"/>
        </w:rPr>
        <w:t>n</w:t>
      </w:r>
      <w:r w:rsidRPr="002C4FEF">
        <w:rPr>
          <w:rFonts w:eastAsia="Dotum"/>
          <w:bCs w:val="0"/>
          <w:i w:val="0"/>
          <w:color w:val="C60C30"/>
          <w:sz w:val="28"/>
          <w:szCs w:val="28"/>
          <w:u w:val="none"/>
          <w:lang w:eastAsia="en-US"/>
        </w:rPr>
        <w:t>s</w:t>
      </w:r>
      <w:bookmarkEnd w:id="1"/>
    </w:p>
    <w:p w:rsidR="002C4FEF" w:rsidRPr="002C4FEF" w:rsidRDefault="002C4FEF" w:rsidP="002C4FEF">
      <w:pPr>
        <w:spacing w:before="0" w:after="200"/>
        <w:rPr>
          <w:rFonts w:ascii="Times New Roman" w:hAnsi="Times New Roman"/>
          <w:sz w:val="20"/>
          <w:szCs w:val="20"/>
          <w:lang w:eastAsia="en-US"/>
        </w:rPr>
      </w:pPr>
      <w:r w:rsidRPr="002C4FEF">
        <w:rPr>
          <w:rFonts w:ascii="Calibri" w:eastAsia="Dotum" w:hAnsi="Calibri" w:cs="Calibri"/>
          <w:noProof/>
          <w:sz w:val="22"/>
          <w:szCs w:val="22"/>
        </w:rPr>
        <w:drawing>
          <wp:inline distT="0" distB="0" distL="0" distR="0" wp14:anchorId="24FC6430" wp14:editId="019C3B3D">
            <wp:extent cx="842645" cy="29400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p>
    <w:p w:rsidR="002C4FEF" w:rsidRPr="002C4FEF" w:rsidRDefault="002C4FEF" w:rsidP="002C4FEF">
      <w:pPr>
        <w:spacing w:before="0" w:after="200"/>
        <w:rPr>
          <w:rFonts w:ascii="Calibri" w:eastAsia="Calibri" w:hAnsi="Calibri" w:cs="Calibri"/>
          <w:lang w:eastAsia="en-US"/>
        </w:rPr>
      </w:pPr>
      <w:r w:rsidRPr="002C4FEF">
        <w:rPr>
          <w:rFonts w:ascii="Calibri" w:eastAsia="Calibri" w:hAnsi="Calibri" w:cs="Calibri"/>
          <w:lang w:eastAsia="en-US"/>
        </w:rPr>
        <w:t>Wi</w:t>
      </w:r>
      <w:r w:rsidRPr="002C4FEF">
        <w:rPr>
          <w:rFonts w:ascii="Calibri" w:eastAsia="Calibri" w:hAnsi="Calibri" w:cs="Calibri"/>
          <w:spacing w:val="1"/>
          <w:lang w:eastAsia="en-US"/>
        </w:rPr>
        <w:t>t</w:t>
      </w:r>
      <w:r w:rsidRPr="002C4FEF">
        <w:rPr>
          <w:rFonts w:ascii="Calibri" w:eastAsia="Calibri" w:hAnsi="Calibri" w:cs="Calibri"/>
          <w:lang w:eastAsia="en-US"/>
        </w:rPr>
        <w:t>h</w:t>
      </w:r>
      <w:r w:rsidRPr="002C4FEF">
        <w:rPr>
          <w:rFonts w:ascii="Calibri" w:eastAsia="Calibri" w:hAnsi="Calibri" w:cs="Calibri"/>
          <w:spacing w:val="49"/>
          <w:lang w:eastAsia="en-US"/>
        </w:rPr>
        <w:t xml:space="preserve"> </w:t>
      </w:r>
      <w:r w:rsidRPr="002C4FEF">
        <w:rPr>
          <w:rFonts w:ascii="Calibri" w:eastAsia="Calibri" w:hAnsi="Calibri" w:cs="Calibri"/>
          <w:spacing w:val="1"/>
          <w:lang w:eastAsia="en-US"/>
        </w:rPr>
        <w:t>th</w:t>
      </w:r>
      <w:r w:rsidRPr="002C4FEF">
        <w:rPr>
          <w:rFonts w:ascii="Calibri" w:eastAsia="Calibri" w:hAnsi="Calibri" w:cs="Calibri"/>
          <w:lang w:eastAsia="en-US"/>
        </w:rPr>
        <w:t>e</w:t>
      </w:r>
      <w:r w:rsidRPr="002C4FEF">
        <w:rPr>
          <w:rFonts w:ascii="Calibri" w:eastAsia="Calibri" w:hAnsi="Calibri" w:cs="Calibri"/>
          <w:spacing w:val="46"/>
          <w:lang w:eastAsia="en-US"/>
        </w:rPr>
        <w:t xml:space="preserve"> </w:t>
      </w:r>
      <w:r w:rsidRPr="002C4FEF">
        <w:rPr>
          <w:rFonts w:ascii="Calibri" w:eastAsia="Calibri" w:hAnsi="Calibri" w:cs="Calibri"/>
          <w:lang w:eastAsia="en-US"/>
        </w:rPr>
        <w:t>e</w:t>
      </w:r>
      <w:r w:rsidRPr="002C4FEF">
        <w:rPr>
          <w:rFonts w:ascii="Calibri" w:eastAsia="Calibri" w:hAnsi="Calibri" w:cs="Calibri"/>
          <w:spacing w:val="-1"/>
          <w:lang w:eastAsia="en-US"/>
        </w:rPr>
        <w:t>xc</w:t>
      </w:r>
      <w:r w:rsidRPr="002C4FEF">
        <w:rPr>
          <w:rFonts w:ascii="Calibri" w:eastAsia="Calibri" w:hAnsi="Calibri" w:cs="Calibri"/>
          <w:spacing w:val="-2"/>
          <w:lang w:eastAsia="en-US"/>
        </w:rPr>
        <w:t>e</w:t>
      </w:r>
      <w:r w:rsidRPr="002C4FEF">
        <w:rPr>
          <w:rFonts w:ascii="Calibri" w:eastAsia="Calibri" w:hAnsi="Calibri" w:cs="Calibri"/>
          <w:spacing w:val="1"/>
          <w:lang w:eastAsia="en-US"/>
        </w:rPr>
        <w:t>pt</w:t>
      </w:r>
      <w:r w:rsidRPr="002C4FEF">
        <w:rPr>
          <w:rFonts w:ascii="Calibri" w:eastAsia="Calibri" w:hAnsi="Calibri" w:cs="Calibri"/>
          <w:lang w:eastAsia="en-US"/>
        </w:rPr>
        <w:t>i</w:t>
      </w:r>
      <w:r w:rsidRPr="002C4FEF">
        <w:rPr>
          <w:rFonts w:ascii="Calibri" w:eastAsia="Calibri" w:hAnsi="Calibri" w:cs="Calibri"/>
          <w:spacing w:val="-2"/>
          <w:lang w:eastAsia="en-US"/>
        </w:rPr>
        <w:t>o</w:t>
      </w:r>
      <w:r w:rsidRPr="002C4FEF">
        <w:rPr>
          <w:rFonts w:ascii="Calibri" w:eastAsia="Calibri" w:hAnsi="Calibri" w:cs="Calibri"/>
          <w:lang w:eastAsia="en-US"/>
        </w:rPr>
        <w:t>n</w:t>
      </w:r>
      <w:r w:rsidRPr="002C4FEF">
        <w:rPr>
          <w:rFonts w:ascii="Calibri" w:eastAsia="Calibri" w:hAnsi="Calibri" w:cs="Calibri"/>
          <w:spacing w:val="40"/>
          <w:lang w:eastAsia="en-US"/>
        </w:rPr>
        <w:t xml:space="preserve"> </w:t>
      </w:r>
      <w:r w:rsidRPr="002C4FEF">
        <w:rPr>
          <w:rFonts w:ascii="Calibri" w:eastAsia="Calibri" w:hAnsi="Calibri" w:cs="Calibri"/>
          <w:spacing w:val="-2"/>
          <w:lang w:eastAsia="en-US"/>
        </w:rPr>
        <w:t>o</w:t>
      </w:r>
      <w:r w:rsidRPr="002C4FEF">
        <w:rPr>
          <w:rFonts w:ascii="Calibri" w:eastAsia="Calibri" w:hAnsi="Calibri" w:cs="Calibri"/>
          <w:lang w:eastAsia="en-US"/>
        </w:rPr>
        <w:t>f</w:t>
      </w:r>
      <w:r w:rsidRPr="002C4FEF">
        <w:rPr>
          <w:rFonts w:ascii="Calibri" w:eastAsia="Calibri" w:hAnsi="Calibri" w:cs="Calibri"/>
          <w:spacing w:val="50"/>
          <w:lang w:eastAsia="en-US"/>
        </w:rPr>
        <w:t xml:space="preserve"> </w:t>
      </w:r>
      <w:r w:rsidRPr="002C4FEF">
        <w:rPr>
          <w:rFonts w:ascii="Calibri" w:eastAsia="Calibri" w:hAnsi="Calibri" w:cs="Calibri"/>
          <w:spacing w:val="-1"/>
          <w:lang w:eastAsia="en-US"/>
        </w:rPr>
        <w:t>t</w:t>
      </w:r>
      <w:r w:rsidRPr="002C4FEF">
        <w:rPr>
          <w:rFonts w:ascii="Calibri" w:eastAsia="Calibri" w:hAnsi="Calibri" w:cs="Calibri"/>
          <w:spacing w:val="1"/>
          <w:lang w:eastAsia="en-US"/>
        </w:rPr>
        <w:t>h</w:t>
      </w:r>
      <w:r w:rsidRPr="002C4FEF">
        <w:rPr>
          <w:rFonts w:ascii="Calibri" w:eastAsia="Calibri" w:hAnsi="Calibri" w:cs="Calibri"/>
          <w:lang w:eastAsia="en-US"/>
        </w:rPr>
        <w:t>e</w:t>
      </w:r>
      <w:r w:rsidRPr="002C4FEF">
        <w:rPr>
          <w:rFonts w:ascii="Calibri" w:eastAsia="Calibri" w:hAnsi="Calibri" w:cs="Calibri"/>
          <w:spacing w:val="48"/>
          <w:lang w:eastAsia="en-US"/>
        </w:rPr>
        <w:t xml:space="preserve"> </w:t>
      </w:r>
      <w:r w:rsidRPr="002C4FEF">
        <w:rPr>
          <w:rFonts w:ascii="Calibri" w:eastAsia="Calibri" w:hAnsi="Calibri" w:cs="Calibri"/>
          <w:lang w:eastAsia="en-US"/>
        </w:rPr>
        <w:t xml:space="preserve">ABDR, </w:t>
      </w:r>
      <w:proofErr w:type="spellStart"/>
      <w:r w:rsidRPr="002C4FEF">
        <w:rPr>
          <w:rFonts w:ascii="Calibri" w:eastAsia="Calibri" w:hAnsi="Calibri" w:cs="Calibri"/>
          <w:lang w:eastAsia="en-US"/>
        </w:rPr>
        <w:t>MyABDR</w:t>
      </w:r>
      <w:proofErr w:type="spellEnd"/>
      <w:r w:rsidRPr="002C4FEF">
        <w:rPr>
          <w:rFonts w:ascii="Calibri" w:eastAsia="Calibri" w:hAnsi="Calibri" w:cs="Calibri"/>
          <w:lang w:eastAsia="en-US"/>
        </w:rPr>
        <w:t xml:space="preserve">, AHCDO, Haemophilia Foundation Australia and </w:t>
      </w:r>
      <w:r w:rsidRPr="002C4FEF">
        <w:rPr>
          <w:rFonts w:ascii="Calibri" w:eastAsia="Calibri" w:hAnsi="Calibri" w:cs="Calibri"/>
          <w:spacing w:val="1"/>
          <w:lang w:eastAsia="en-US"/>
        </w:rPr>
        <w:t>N</w:t>
      </w:r>
      <w:r w:rsidRPr="002C4FEF">
        <w:rPr>
          <w:rFonts w:ascii="Calibri" w:eastAsia="Calibri" w:hAnsi="Calibri" w:cs="Calibri"/>
          <w:spacing w:val="-2"/>
          <w:lang w:eastAsia="en-US"/>
        </w:rPr>
        <w:t>a</w:t>
      </w:r>
      <w:r w:rsidRPr="002C4FEF">
        <w:rPr>
          <w:rFonts w:ascii="Calibri" w:eastAsia="Calibri" w:hAnsi="Calibri" w:cs="Calibri"/>
          <w:spacing w:val="1"/>
          <w:lang w:eastAsia="en-US"/>
        </w:rPr>
        <w:t>t</w:t>
      </w:r>
      <w:r w:rsidRPr="002C4FEF">
        <w:rPr>
          <w:rFonts w:ascii="Calibri" w:eastAsia="Calibri" w:hAnsi="Calibri" w:cs="Calibri"/>
          <w:spacing w:val="-2"/>
          <w:lang w:eastAsia="en-US"/>
        </w:rPr>
        <w:t>i</w:t>
      </w:r>
      <w:r w:rsidRPr="002C4FEF">
        <w:rPr>
          <w:rFonts w:ascii="Calibri" w:eastAsia="Calibri" w:hAnsi="Calibri" w:cs="Calibri"/>
          <w:spacing w:val="-1"/>
          <w:lang w:eastAsia="en-US"/>
        </w:rPr>
        <w:t>o</w:t>
      </w:r>
      <w:r w:rsidRPr="002C4FEF">
        <w:rPr>
          <w:rFonts w:ascii="Calibri" w:eastAsia="Calibri" w:hAnsi="Calibri" w:cs="Calibri"/>
          <w:spacing w:val="1"/>
          <w:lang w:eastAsia="en-US"/>
        </w:rPr>
        <w:t>n</w:t>
      </w:r>
      <w:r w:rsidRPr="002C4FEF">
        <w:rPr>
          <w:rFonts w:ascii="Calibri" w:eastAsia="Calibri" w:hAnsi="Calibri" w:cs="Calibri"/>
          <w:lang w:eastAsia="en-US"/>
        </w:rPr>
        <w:t>al</w:t>
      </w:r>
      <w:r w:rsidRPr="002C4FEF">
        <w:rPr>
          <w:rFonts w:ascii="Calibri" w:eastAsia="Calibri" w:hAnsi="Calibri" w:cs="Calibri"/>
          <w:spacing w:val="47"/>
          <w:lang w:eastAsia="en-US"/>
        </w:rPr>
        <w:t xml:space="preserve"> </w:t>
      </w:r>
      <w:r w:rsidRPr="002C4FEF">
        <w:rPr>
          <w:rFonts w:ascii="Calibri" w:eastAsia="Calibri" w:hAnsi="Calibri" w:cs="Calibri"/>
          <w:spacing w:val="-1"/>
          <w:lang w:eastAsia="en-US"/>
        </w:rPr>
        <w:t>B</w:t>
      </w:r>
      <w:r w:rsidRPr="002C4FEF">
        <w:rPr>
          <w:rFonts w:ascii="Calibri" w:eastAsia="Calibri" w:hAnsi="Calibri" w:cs="Calibri"/>
          <w:lang w:eastAsia="en-US"/>
        </w:rPr>
        <w:t>l</w:t>
      </w:r>
      <w:r w:rsidRPr="002C4FEF">
        <w:rPr>
          <w:rFonts w:ascii="Calibri" w:eastAsia="Calibri" w:hAnsi="Calibri" w:cs="Calibri"/>
          <w:spacing w:val="1"/>
          <w:lang w:eastAsia="en-US"/>
        </w:rPr>
        <w:t>o</w:t>
      </w:r>
      <w:r w:rsidRPr="002C4FEF">
        <w:rPr>
          <w:rFonts w:ascii="Calibri" w:eastAsia="Calibri" w:hAnsi="Calibri" w:cs="Calibri"/>
          <w:spacing w:val="-2"/>
          <w:lang w:eastAsia="en-US"/>
        </w:rPr>
        <w:t>o</w:t>
      </w:r>
      <w:r w:rsidRPr="002C4FEF">
        <w:rPr>
          <w:rFonts w:ascii="Calibri" w:eastAsia="Calibri" w:hAnsi="Calibri" w:cs="Calibri"/>
          <w:lang w:eastAsia="en-US"/>
        </w:rPr>
        <w:t>d</w:t>
      </w:r>
      <w:r w:rsidRPr="002C4FEF">
        <w:rPr>
          <w:rFonts w:ascii="Calibri" w:eastAsia="Calibri" w:hAnsi="Calibri" w:cs="Calibri"/>
          <w:spacing w:val="51"/>
          <w:lang w:eastAsia="en-US"/>
        </w:rPr>
        <w:t xml:space="preserve"> </w:t>
      </w:r>
      <w:r w:rsidRPr="002C4FEF">
        <w:rPr>
          <w:rFonts w:ascii="Calibri" w:eastAsia="Calibri" w:hAnsi="Calibri" w:cs="Calibri"/>
          <w:spacing w:val="-2"/>
          <w:lang w:eastAsia="en-US"/>
        </w:rPr>
        <w:t>A</w:t>
      </w:r>
      <w:r w:rsidRPr="002C4FEF">
        <w:rPr>
          <w:rFonts w:ascii="Calibri" w:eastAsia="Calibri" w:hAnsi="Calibri" w:cs="Calibri"/>
          <w:spacing w:val="-1"/>
          <w:lang w:eastAsia="en-US"/>
        </w:rPr>
        <w:t>u</w:t>
      </w:r>
      <w:r w:rsidRPr="002C4FEF">
        <w:rPr>
          <w:rFonts w:ascii="Calibri" w:eastAsia="Calibri" w:hAnsi="Calibri" w:cs="Calibri"/>
          <w:spacing w:val="1"/>
          <w:lang w:eastAsia="en-US"/>
        </w:rPr>
        <w:t>th</w:t>
      </w:r>
      <w:r w:rsidRPr="002C4FEF">
        <w:rPr>
          <w:rFonts w:ascii="Calibri" w:eastAsia="Calibri" w:hAnsi="Calibri" w:cs="Calibri"/>
          <w:lang w:eastAsia="en-US"/>
        </w:rPr>
        <w:t>or</w:t>
      </w:r>
      <w:r w:rsidRPr="002C4FEF">
        <w:rPr>
          <w:rFonts w:ascii="Calibri" w:eastAsia="Calibri" w:hAnsi="Calibri" w:cs="Calibri"/>
          <w:spacing w:val="1"/>
          <w:lang w:eastAsia="en-US"/>
        </w:rPr>
        <w:t>it</w:t>
      </w:r>
      <w:r w:rsidRPr="002C4FEF">
        <w:rPr>
          <w:rFonts w:ascii="Calibri" w:eastAsia="Calibri" w:hAnsi="Calibri" w:cs="Calibri"/>
          <w:lang w:eastAsia="en-US"/>
        </w:rPr>
        <w:t>y</w:t>
      </w:r>
      <w:r w:rsidRPr="002C4FEF">
        <w:rPr>
          <w:rFonts w:ascii="Calibri" w:eastAsia="Calibri" w:hAnsi="Calibri" w:cs="Calibri"/>
          <w:spacing w:val="42"/>
          <w:lang w:eastAsia="en-US"/>
        </w:rPr>
        <w:t xml:space="preserve"> </w:t>
      </w:r>
      <w:r w:rsidRPr="002C4FEF">
        <w:rPr>
          <w:rFonts w:ascii="Calibri" w:eastAsia="Calibri" w:hAnsi="Calibri" w:cs="Calibri"/>
          <w:spacing w:val="-2"/>
          <w:lang w:eastAsia="en-US"/>
        </w:rPr>
        <w:t>lo</w:t>
      </w:r>
      <w:r w:rsidRPr="002C4FEF">
        <w:rPr>
          <w:rFonts w:ascii="Calibri" w:eastAsia="Calibri" w:hAnsi="Calibri" w:cs="Calibri"/>
          <w:spacing w:val="-3"/>
          <w:lang w:eastAsia="en-US"/>
        </w:rPr>
        <w:t>g</w:t>
      </w:r>
      <w:r w:rsidRPr="002C4FEF">
        <w:rPr>
          <w:rFonts w:ascii="Calibri" w:eastAsia="Calibri" w:hAnsi="Calibri" w:cs="Calibri"/>
          <w:lang w:eastAsia="en-US"/>
        </w:rPr>
        <w:t xml:space="preserve">os, </w:t>
      </w:r>
      <w:r w:rsidRPr="002C4FEF">
        <w:rPr>
          <w:rFonts w:ascii="Calibri" w:eastAsia="Calibri" w:hAnsi="Calibri" w:cs="Calibri"/>
          <w:spacing w:val="2"/>
          <w:lang w:eastAsia="en-US"/>
        </w:rPr>
        <w:t>this</w:t>
      </w:r>
      <w:r w:rsidRPr="002C4FEF">
        <w:rPr>
          <w:rFonts w:ascii="Calibri" w:eastAsia="Calibri" w:hAnsi="Calibri" w:cs="Calibri"/>
          <w:spacing w:val="46"/>
          <w:lang w:eastAsia="en-US"/>
        </w:rPr>
        <w:t xml:space="preserve"> </w:t>
      </w:r>
      <w:r w:rsidRPr="002C4FEF">
        <w:rPr>
          <w:rFonts w:ascii="Calibri" w:eastAsia="Calibri" w:hAnsi="Calibri" w:cs="Calibri"/>
          <w:spacing w:val="1"/>
          <w:lang w:eastAsia="en-US"/>
        </w:rPr>
        <w:t>do</w:t>
      </w:r>
      <w:r w:rsidRPr="002C4FEF">
        <w:rPr>
          <w:rFonts w:ascii="Calibri" w:eastAsia="Calibri" w:hAnsi="Calibri" w:cs="Calibri"/>
          <w:spacing w:val="-1"/>
          <w:lang w:eastAsia="en-US"/>
        </w:rPr>
        <w:t>c</w:t>
      </w:r>
      <w:r w:rsidRPr="002C4FEF">
        <w:rPr>
          <w:rFonts w:ascii="Calibri" w:eastAsia="Calibri" w:hAnsi="Calibri" w:cs="Calibri"/>
          <w:spacing w:val="1"/>
          <w:lang w:eastAsia="en-US"/>
        </w:rPr>
        <w:t>u</w:t>
      </w:r>
      <w:r w:rsidRPr="002C4FEF">
        <w:rPr>
          <w:rFonts w:ascii="Calibri" w:eastAsia="Calibri" w:hAnsi="Calibri" w:cs="Calibri"/>
          <w:spacing w:val="-5"/>
          <w:lang w:eastAsia="en-US"/>
        </w:rPr>
        <w:t>m</w:t>
      </w:r>
      <w:r w:rsidRPr="002C4FEF">
        <w:rPr>
          <w:rFonts w:ascii="Calibri" w:eastAsia="Calibri" w:hAnsi="Calibri" w:cs="Calibri"/>
          <w:spacing w:val="-2"/>
          <w:lang w:eastAsia="en-US"/>
        </w:rPr>
        <w:t>e</w:t>
      </w:r>
      <w:r w:rsidRPr="002C4FEF">
        <w:rPr>
          <w:rFonts w:ascii="Calibri" w:eastAsia="Calibri" w:hAnsi="Calibri" w:cs="Calibri"/>
          <w:spacing w:val="1"/>
          <w:lang w:eastAsia="en-US"/>
        </w:rPr>
        <w:t>n</w:t>
      </w:r>
      <w:r w:rsidRPr="002C4FEF">
        <w:rPr>
          <w:rFonts w:ascii="Calibri" w:eastAsia="Calibri" w:hAnsi="Calibri" w:cs="Calibri"/>
          <w:lang w:eastAsia="en-US"/>
        </w:rPr>
        <w:t>t</w:t>
      </w:r>
      <w:r w:rsidRPr="002C4FEF">
        <w:rPr>
          <w:rFonts w:ascii="Calibri" w:eastAsia="Calibri" w:hAnsi="Calibri" w:cs="Calibri"/>
          <w:spacing w:val="43"/>
          <w:lang w:eastAsia="en-US"/>
        </w:rPr>
        <w:t xml:space="preserve"> </w:t>
      </w:r>
      <w:r w:rsidRPr="002C4FEF">
        <w:rPr>
          <w:rFonts w:ascii="Calibri" w:eastAsia="Calibri" w:hAnsi="Calibri" w:cs="Calibri"/>
          <w:lang w:eastAsia="en-US"/>
        </w:rPr>
        <w:t>is lic</w:t>
      </w:r>
      <w:r w:rsidRPr="002C4FEF">
        <w:rPr>
          <w:rFonts w:ascii="Calibri" w:eastAsia="Calibri" w:hAnsi="Calibri" w:cs="Calibri"/>
          <w:spacing w:val="1"/>
          <w:lang w:eastAsia="en-US"/>
        </w:rPr>
        <w:t>en</w:t>
      </w:r>
      <w:r w:rsidRPr="002C4FEF">
        <w:rPr>
          <w:rFonts w:ascii="Calibri" w:eastAsia="Calibri" w:hAnsi="Calibri" w:cs="Calibri"/>
          <w:lang w:eastAsia="en-US"/>
        </w:rPr>
        <w:t>sed</w:t>
      </w:r>
      <w:r w:rsidRPr="002C4FEF">
        <w:rPr>
          <w:rFonts w:ascii="Calibri" w:eastAsia="Calibri" w:hAnsi="Calibri" w:cs="Calibri"/>
          <w:spacing w:val="-1"/>
          <w:lang w:eastAsia="en-US"/>
        </w:rPr>
        <w:t xml:space="preserve"> u</w:t>
      </w:r>
      <w:r w:rsidRPr="002C4FEF">
        <w:rPr>
          <w:rFonts w:ascii="Calibri" w:eastAsia="Calibri" w:hAnsi="Calibri" w:cs="Calibri"/>
          <w:spacing w:val="1"/>
          <w:lang w:eastAsia="en-US"/>
        </w:rPr>
        <w:t>nd</w:t>
      </w:r>
      <w:r w:rsidRPr="002C4FEF">
        <w:rPr>
          <w:rFonts w:ascii="Calibri" w:eastAsia="Calibri" w:hAnsi="Calibri" w:cs="Calibri"/>
          <w:lang w:eastAsia="en-US"/>
        </w:rPr>
        <w:t>er</w:t>
      </w:r>
      <w:r w:rsidRPr="002C4FEF">
        <w:rPr>
          <w:rFonts w:ascii="Calibri" w:eastAsia="Calibri" w:hAnsi="Calibri" w:cs="Calibri"/>
          <w:spacing w:val="-5"/>
          <w:lang w:eastAsia="en-US"/>
        </w:rPr>
        <w:t xml:space="preserve"> </w:t>
      </w:r>
      <w:r w:rsidRPr="002C4FEF">
        <w:rPr>
          <w:rFonts w:ascii="Calibri" w:eastAsia="Calibri" w:hAnsi="Calibri" w:cs="Calibri"/>
          <w:lang w:eastAsia="en-US"/>
        </w:rPr>
        <w:t xml:space="preserve">a </w:t>
      </w:r>
      <w:hyperlink r:id="rId14">
        <w:r w:rsidRPr="002C4FEF">
          <w:rPr>
            <w:rFonts w:ascii="Calibri" w:eastAsia="Calibri" w:hAnsi="Calibri" w:cs="Calibri"/>
            <w:color w:val="0000FF"/>
            <w:u w:val="single" w:color="0000FF"/>
            <w:lang w:eastAsia="en-US"/>
          </w:rPr>
          <w:t>Cre</w:t>
        </w:r>
        <w:r w:rsidRPr="002C4FEF">
          <w:rPr>
            <w:rFonts w:ascii="Calibri" w:eastAsia="Calibri" w:hAnsi="Calibri" w:cs="Calibri"/>
            <w:color w:val="0000FF"/>
            <w:spacing w:val="-2"/>
            <w:u w:val="single" w:color="0000FF"/>
            <w:lang w:eastAsia="en-US"/>
          </w:rPr>
          <w:t>a</w:t>
        </w:r>
        <w:r w:rsidRPr="002C4FEF">
          <w:rPr>
            <w:rFonts w:ascii="Calibri" w:eastAsia="Calibri" w:hAnsi="Calibri" w:cs="Calibri"/>
            <w:color w:val="0000FF"/>
            <w:spacing w:val="-1"/>
            <w:u w:val="single" w:color="0000FF"/>
            <w:lang w:eastAsia="en-US"/>
          </w:rPr>
          <w:t>t</w:t>
        </w:r>
        <w:r w:rsidRPr="002C4FEF">
          <w:rPr>
            <w:rFonts w:ascii="Calibri" w:eastAsia="Calibri" w:hAnsi="Calibri" w:cs="Calibri"/>
            <w:color w:val="0000FF"/>
            <w:u w:val="single" w:color="0000FF"/>
            <w:lang w:eastAsia="en-US"/>
          </w:rPr>
          <w:t>i</w:t>
        </w:r>
        <w:r w:rsidRPr="002C4FEF">
          <w:rPr>
            <w:rFonts w:ascii="Calibri" w:eastAsia="Calibri" w:hAnsi="Calibri" w:cs="Calibri"/>
            <w:color w:val="0000FF"/>
            <w:spacing w:val="-5"/>
            <w:u w:val="single" w:color="0000FF"/>
            <w:lang w:eastAsia="en-US"/>
          </w:rPr>
          <w:t>v</w:t>
        </w:r>
        <w:r w:rsidRPr="002C4FEF">
          <w:rPr>
            <w:rFonts w:ascii="Calibri" w:eastAsia="Calibri" w:hAnsi="Calibri" w:cs="Calibri"/>
            <w:color w:val="0000FF"/>
            <w:u w:val="single" w:color="0000FF"/>
            <w:lang w:eastAsia="en-US"/>
          </w:rPr>
          <w:t>e</w:t>
        </w:r>
        <w:r w:rsidRPr="002C4FEF">
          <w:rPr>
            <w:rFonts w:ascii="Calibri" w:eastAsia="Calibri" w:hAnsi="Calibri" w:cs="Calibri"/>
            <w:color w:val="0000FF"/>
            <w:spacing w:val="-9"/>
            <w:u w:val="single" w:color="0000FF"/>
            <w:lang w:eastAsia="en-US"/>
          </w:rPr>
          <w:t xml:space="preserve"> </w:t>
        </w:r>
        <w:r w:rsidRPr="002C4FEF">
          <w:rPr>
            <w:rFonts w:ascii="Calibri" w:eastAsia="Calibri" w:hAnsi="Calibri" w:cs="Calibri"/>
            <w:color w:val="0000FF"/>
            <w:u w:val="single" w:color="0000FF"/>
            <w:lang w:eastAsia="en-US"/>
          </w:rPr>
          <w:t>Com</w:t>
        </w:r>
        <w:r w:rsidRPr="002C4FEF">
          <w:rPr>
            <w:rFonts w:ascii="Calibri" w:eastAsia="Calibri" w:hAnsi="Calibri" w:cs="Calibri"/>
            <w:color w:val="0000FF"/>
            <w:spacing w:val="-2"/>
            <w:u w:val="single" w:color="0000FF"/>
            <w:lang w:eastAsia="en-US"/>
          </w:rPr>
          <w:t>m</w:t>
        </w:r>
        <w:r w:rsidRPr="002C4FEF">
          <w:rPr>
            <w:rFonts w:ascii="Calibri" w:eastAsia="Calibri" w:hAnsi="Calibri" w:cs="Calibri"/>
            <w:color w:val="0000FF"/>
            <w:spacing w:val="1"/>
            <w:u w:val="single" w:color="0000FF"/>
            <w:lang w:eastAsia="en-US"/>
          </w:rPr>
          <w:t>on</w:t>
        </w:r>
        <w:r w:rsidRPr="002C4FEF">
          <w:rPr>
            <w:rFonts w:ascii="Calibri" w:eastAsia="Calibri" w:hAnsi="Calibri" w:cs="Calibri"/>
            <w:color w:val="0000FF"/>
            <w:u w:val="single" w:color="0000FF"/>
            <w:lang w:eastAsia="en-US"/>
          </w:rPr>
          <w:t xml:space="preserve">s </w:t>
        </w:r>
        <w:r w:rsidRPr="002C4FEF">
          <w:rPr>
            <w:rFonts w:ascii="Calibri" w:eastAsia="Calibri" w:hAnsi="Calibri" w:cs="Calibri"/>
            <w:color w:val="0000FF"/>
            <w:spacing w:val="-2"/>
            <w:u w:val="single" w:color="0000FF"/>
            <w:lang w:eastAsia="en-US"/>
          </w:rPr>
          <w:t>A</w:t>
        </w:r>
        <w:r w:rsidRPr="002C4FEF">
          <w:rPr>
            <w:rFonts w:ascii="Calibri" w:eastAsia="Calibri" w:hAnsi="Calibri" w:cs="Calibri"/>
            <w:color w:val="0000FF"/>
            <w:spacing w:val="1"/>
            <w:u w:val="single" w:color="0000FF"/>
            <w:lang w:eastAsia="en-US"/>
          </w:rPr>
          <w:t>tt</w:t>
        </w:r>
        <w:r w:rsidRPr="002C4FEF">
          <w:rPr>
            <w:rFonts w:ascii="Calibri" w:eastAsia="Calibri" w:hAnsi="Calibri" w:cs="Calibri"/>
            <w:color w:val="0000FF"/>
            <w:u w:val="single" w:color="0000FF"/>
            <w:lang w:eastAsia="en-US"/>
          </w:rPr>
          <w:t>r</w:t>
        </w:r>
        <w:r w:rsidRPr="002C4FEF">
          <w:rPr>
            <w:rFonts w:ascii="Calibri" w:eastAsia="Calibri" w:hAnsi="Calibri" w:cs="Calibri"/>
            <w:color w:val="0000FF"/>
            <w:spacing w:val="-2"/>
            <w:u w:val="single" w:color="0000FF"/>
            <w:lang w:eastAsia="en-US"/>
          </w:rPr>
          <w:t>i</w:t>
        </w:r>
        <w:r w:rsidRPr="002C4FEF">
          <w:rPr>
            <w:rFonts w:ascii="Calibri" w:eastAsia="Calibri" w:hAnsi="Calibri" w:cs="Calibri"/>
            <w:color w:val="0000FF"/>
            <w:spacing w:val="-1"/>
            <w:u w:val="single" w:color="0000FF"/>
            <w:lang w:eastAsia="en-US"/>
          </w:rPr>
          <w:t>b</w:t>
        </w:r>
        <w:r w:rsidRPr="002C4FEF">
          <w:rPr>
            <w:rFonts w:ascii="Calibri" w:eastAsia="Calibri" w:hAnsi="Calibri" w:cs="Calibri"/>
            <w:color w:val="0000FF"/>
            <w:spacing w:val="1"/>
            <w:u w:val="single" w:color="0000FF"/>
            <w:lang w:eastAsia="en-US"/>
          </w:rPr>
          <w:t>ut</w:t>
        </w:r>
        <w:r w:rsidRPr="002C4FEF">
          <w:rPr>
            <w:rFonts w:ascii="Calibri" w:eastAsia="Calibri" w:hAnsi="Calibri" w:cs="Calibri"/>
            <w:color w:val="0000FF"/>
            <w:u w:val="single" w:color="0000FF"/>
            <w:lang w:eastAsia="en-US"/>
          </w:rPr>
          <w:t>i</w:t>
        </w:r>
        <w:r w:rsidRPr="002C4FEF">
          <w:rPr>
            <w:rFonts w:ascii="Calibri" w:eastAsia="Calibri" w:hAnsi="Calibri" w:cs="Calibri"/>
            <w:color w:val="0000FF"/>
            <w:spacing w:val="-2"/>
            <w:u w:val="single" w:color="0000FF"/>
            <w:lang w:eastAsia="en-US"/>
          </w:rPr>
          <w:t>o</w:t>
        </w:r>
        <w:r w:rsidRPr="002C4FEF">
          <w:rPr>
            <w:rFonts w:ascii="Calibri" w:eastAsia="Calibri" w:hAnsi="Calibri" w:cs="Calibri"/>
            <w:color w:val="0000FF"/>
            <w:u w:val="single" w:color="0000FF"/>
            <w:lang w:eastAsia="en-US"/>
          </w:rPr>
          <w:t>n</w:t>
        </w:r>
        <w:r w:rsidRPr="002C4FEF">
          <w:rPr>
            <w:rFonts w:ascii="Calibri" w:eastAsia="Calibri" w:hAnsi="Calibri" w:cs="Calibri"/>
            <w:color w:val="0000FF"/>
            <w:spacing w:val="-10"/>
            <w:u w:val="single" w:color="0000FF"/>
            <w:lang w:eastAsia="en-US"/>
          </w:rPr>
          <w:t xml:space="preserve"> </w:t>
        </w:r>
        <w:r w:rsidRPr="002C4FEF">
          <w:rPr>
            <w:rFonts w:ascii="Calibri" w:eastAsia="Calibri" w:hAnsi="Calibri" w:cs="Calibri"/>
            <w:color w:val="0000FF"/>
            <w:spacing w:val="-2"/>
            <w:u w:val="single" w:color="0000FF"/>
            <w:lang w:eastAsia="en-US"/>
          </w:rPr>
          <w:t>3</w:t>
        </w:r>
        <w:r w:rsidRPr="002C4FEF">
          <w:rPr>
            <w:rFonts w:ascii="Calibri" w:eastAsia="Calibri" w:hAnsi="Calibri" w:cs="Calibri"/>
            <w:color w:val="0000FF"/>
            <w:u w:val="single" w:color="0000FF"/>
            <w:lang w:eastAsia="en-US"/>
          </w:rPr>
          <w:t>.0</w:t>
        </w:r>
        <w:r w:rsidRPr="002C4FEF">
          <w:rPr>
            <w:rFonts w:ascii="Calibri" w:eastAsia="Calibri" w:hAnsi="Calibri" w:cs="Calibri"/>
            <w:color w:val="0000FF"/>
            <w:spacing w:val="1"/>
            <w:u w:val="single" w:color="0000FF"/>
            <w:lang w:eastAsia="en-US"/>
          </w:rPr>
          <w:t xml:space="preserve"> </w:t>
        </w:r>
        <w:r w:rsidRPr="002C4FEF">
          <w:rPr>
            <w:rFonts w:ascii="Calibri" w:eastAsia="Calibri" w:hAnsi="Calibri" w:cs="Calibri"/>
            <w:color w:val="0000FF"/>
            <w:u w:val="single" w:color="0000FF"/>
            <w:lang w:eastAsia="en-US"/>
          </w:rPr>
          <w:t>A</w:t>
        </w:r>
        <w:r w:rsidRPr="002C4FEF">
          <w:rPr>
            <w:rFonts w:ascii="Calibri" w:eastAsia="Calibri" w:hAnsi="Calibri" w:cs="Calibri"/>
            <w:color w:val="0000FF"/>
            <w:spacing w:val="1"/>
            <w:u w:val="single" w:color="0000FF"/>
            <w:lang w:eastAsia="en-US"/>
          </w:rPr>
          <w:t>u</w:t>
        </w:r>
        <w:r w:rsidRPr="002C4FEF">
          <w:rPr>
            <w:rFonts w:ascii="Calibri" w:eastAsia="Calibri" w:hAnsi="Calibri" w:cs="Calibri"/>
            <w:color w:val="0000FF"/>
            <w:spacing w:val="-3"/>
            <w:u w:val="single" w:color="0000FF"/>
            <w:lang w:eastAsia="en-US"/>
          </w:rPr>
          <w:t>s</w:t>
        </w:r>
        <w:r w:rsidRPr="002C4FEF">
          <w:rPr>
            <w:rFonts w:ascii="Calibri" w:eastAsia="Calibri" w:hAnsi="Calibri" w:cs="Calibri"/>
            <w:color w:val="0000FF"/>
            <w:spacing w:val="1"/>
            <w:u w:val="single" w:color="0000FF"/>
            <w:lang w:eastAsia="en-US"/>
          </w:rPr>
          <w:t>t</w:t>
        </w:r>
        <w:r w:rsidRPr="002C4FEF">
          <w:rPr>
            <w:rFonts w:ascii="Calibri" w:eastAsia="Calibri" w:hAnsi="Calibri" w:cs="Calibri"/>
            <w:color w:val="0000FF"/>
            <w:u w:val="single" w:color="0000FF"/>
            <w:lang w:eastAsia="en-US"/>
          </w:rPr>
          <w:t>ralia</w:t>
        </w:r>
        <w:r w:rsidRPr="002C4FEF">
          <w:rPr>
            <w:rFonts w:ascii="Calibri" w:eastAsia="Calibri" w:hAnsi="Calibri" w:cs="Calibri"/>
            <w:color w:val="0000FF"/>
            <w:spacing w:val="-2"/>
            <w:u w:val="single" w:color="0000FF"/>
            <w:lang w:eastAsia="en-US"/>
          </w:rPr>
          <w:t xml:space="preserve"> </w:t>
        </w:r>
        <w:r w:rsidRPr="002C4FEF">
          <w:rPr>
            <w:rFonts w:ascii="Calibri" w:eastAsia="Calibri" w:hAnsi="Calibri" w:cs="Calibri"/>
            <w:color w:val="0000FF"/>
            <w:u w:val="single" w:color="0000FF"/>
            <w:lang w:eastAsia="en-US"/>
          </w:rPr>
          <w:t>li</w:t>
        </w:r>
        <w:r w:rsidRPr="002C4FEF">
          <w:rPr>
            <w:rFonts w:ascii="Calibri" w:eastAsia="Calibri" w:hAnsi="Calibri" w:cs="Calibri"/>
            <w:color w:val="0000FF"/>
            <w:spacing w:val="-3"/>
            <w:u w:val="single" w:color="0000FF"/>
            <w:lang w:eastAsia="en-US"/>
          </w:rPr>
          <w:t>c</w:t>
        </w:r>
        <w:r w:rsidRPr="002C4FEF">
          <w:rPr>
            <w:rFonts w:ascii="Calibri" w:eastAsia="Calibri" w:hAnsi="Calibri" w:cs="Calibri"/>
            <w:color w:val="0000FF"/>
            <w:u w:val="single" w:color="0000FF"/>
            <w:lang w:eastAsia="en-US"/>
          </w:rPr>
          <w:t>e</w:t>
        </w:r>
        <w:r w:rsidRPr="002C4FEF">
          <w:rPr>
            <w:rFonts w:ascii="Calibri" w:eastAsia="Calibri" w:hAnsi="Calibri" w:cs="Calibri"/>
            <w:color w:val="0000FF"/>
            <w:spacing w:val="1"/>
            <w:u w:val="single" w:color="0000FF"/>
            <w:lang w:eastAsia="en-US"/>
          </w:rPr>
          <w:t>n</w:t>
        </w:r>
        <w:r w:rsidRPr="002C4FEF">
          <w:rPr>
            <w:rFonts w:ascii="Calibri" w:eastAsia="Calibri" w:hAnsi="Calibri" w:cs="Calibri"/>
            <w:color w:val="0000FF"/>
            <w:spacing w:val="-1"/>
            <w:u w:val="single" w:color="0000FF"/>
            <w:lang w:eastAsia="en-US"/>
          </w:rPr>
          <w:t>c</w:t>
        </w:r>
        <w:r w:rsidRPr="002C4FEF">
          <w:rPr>
            <w:rFonts w:ascii="Calibri" w:eastAsia="Calibri" w:hAnsi="Calibri" w:cs="Calibri"/>
            <w:color w:val="0000FF"/>
            <w:spacing w:val="5"/>
            <w:u w:val="single" w:color="0000FF"/>
            <w:lang w:eastAsia="en-US"/>
          </w:rPr>
          <w:t>e</w:t>
        </w:r>
      </w:hyperlink>
      <w:r w:rsidRPr="002C4FEF">
        <w:rPr>
          <w:rFonts w:ascii="Calibri" w:eastAsia="Calibri" w:hAnsi="Calibri" w:cs="Calibri"/>
          <w:color w:val="000000"/>
          <w:lang w:eastAsia="en-US"/>
        </w:rPr>
        <w:t>.</w:t>
      </w:r>
    </w:p>
    <w:p w:rsidR="002C4FEF" w:rsidRPr="002C4FEF" w:rsidRDefault="002C4FEF" w:rsidP="002C4FEF">
      <w:pPr>
        <w:spacing w:before="0" w:after="200"/>
        <w:rPr>
          <w:rFonts w:ascii="Calibri" w:eastAsia="Calibri" w:hAnsi="Calibri" w:cs="Calibri"/>
          <w:position w:val="1"/>
          <w:lang w:eastAsia="en-US"/>
        </w:rPr>
      </w:pPr>
      <w:r w:rsidRPr="002C4FEF">
        <w:rPr>
          <w:rFonts w:ascii="Calibri" w:eastAsia="Calibri" w:hAnsi="Calibri" w:cs="Calibri"/>
          <w:spacing w:val="1"/>
          <w:lang w:eastAsia="en-US"/>
        </w:rPr>
        <w:t>Th</w:t>
      </w:r>
      <w:r w:rsidRPr="002C4FEF">
        <w:rPr>
          <w:rFonts w:ascii="Calibri" w:eastAsia="Calibri" w:hAnsi="Calibri" w:cs="Calibri"/>
          <w:lang w:eastAsia="en-US"/>
        </w:rPr>
        <w:t xml:space="preserve">e </w:t>
      </w:r>
      <w:r w:rsidRPr="002C4FEF">
        <w:rPr>
          <w:rFonts w:ascii="Calibri" w:eastAsia="Calibri" w:hAnsi="Calibri" w:cs="Calibri"/>
          <w:spacing w:val="1"/>
          <w:lang w:eastAsia="en-US"/>
        </w:rPr>
        <w:t>do</w:t>
      </w:r>
      <w:r w:rsidRPr="002C4FEF">
        <w:rPr>
          <w:rFonts w:ascii="Calibri" w:eastAsia="Calibri" w:hAnsi="Calibri" w:cs="Calibri"/>
          <w:spacing w:val="-1"/>
          <w:lang w:eastAsia="en-US"/>
        </w:rPr>
        <w:t>c</w:t>
      </w:r>
      <w:r w:rsidRPr="002C4FEF">
        <w:rPr>
          <w:rFonts w:ascii="Calibri" w:eastAsia="Calibri" w:hAnsi="Calibri" w:cs="Calibri"/>
          <w:spacing w:val="1"/>
          <w:lang w:eastAsia="en-US"/>
        </w:rPr>
        <w:t>u</w:t>
      </w:r>
      <w:r w:rsidRPr="002C4FEF">
        <w:rPr>
          <w:rFonts w:ascii="Calibri" w:eastAsia="Calibri" w:hAnsi="Calibri" w:cs="Calibri"/>
          <w:spacing w:val="-2"/>
          <w:lang w:eastAsia="en-US"/>
        </w:rPr>
        <w:t>me</w:t>
      </w:r>
      <w:r w:rsidRPr="002C4FEF">
        <w:rPr>
          <w:rFonts w:ascii="Calibri" w:eastAsia="Calibri" w:hAnsi="Calibri" w:cs="Calibri"/>
          <w:spacing w:val="1"/>
          <w:lang w:eastAsia="en-US"/>
        </w:rPr>
        <w:t>n</w:t>
      </w:r>
      <w:r w:rsidRPr="002C4FEF">
        <w:rPr>
          <w:rFonts w:ascii="Calibri" w:eastAsia="Calibri" w:hAnsi="Calibri" w:cs="Calibri"/>
          <w:lang w:eastAsia="en-US"/>
        </w:rPr>
        <w:t>t</w:t>
      </w:r>
      <w:r w:rsidRPr="002C4FEF">
        <w:rPr>
          <w:rFonts w:ascii="Calibri" w:eastAsia="Calibri" w:hAnsi="Calibri" w:cs="Calibri"/>
          <w:spacing w:val="52"/>
          <w:lang w:eastAsia="en-US"/>
        </w:rPr>
        <w:t xml:space="preserve"> </w:t>
      </w:r>
      <w:r w:rsidRPr="002C4FEF">
        <w:rPr>
          <w:rFonts w:ascii="Calibri" w:eastAsia="Calibri" w:hAnsi="Calibri" w:cs="Calibri"/>
          <w:lang w:eastAsia="en-US"/>
        </w:rPr>
        <w:t>s</w:t>
      </w:r>
      <w:r w:rsidRPr="002C4FEF">
        <w:rPr>
          <w:rFonts w:ascii="Calibri" w:eastAsia="Calibri" w:hAnsi="Calibri" w:cs="Calibri"/>
          <w:spacing w:val="1"/>
          <w:lang w:eastAsia="en-US"/>
        </w:rPr>
        <w:t>h</w:t>
      </w:r>
      <w:r w:rsidRPr="002C4FEF">
        <w:rPr>
          <w:rFonts w:ascii="Calibri" w:eastAsia="Calibri" w:hAnsi="Calibri" w:cs="Calibri"/>
          <w:spacing w:val="-2"/>
          <w:lang w:eastAsia="en-US"/>
        </w:rPr>
        <w:t>o</w:t>
      </w:r>
      <w:r w:rsidRPr="002C4FEF">
        <w:rPr>
          <w:rFonts w:ascii="Calibri" w:eastAsia="Calibri" w:hAnsi="Calibri" w:cs="Calibri"/>
          <w:spacing w:val="1"/>
          <w:lang w:eastAsia="en-US"/>
        </w:rPr>
        <w:t>u</w:t>
      </w:r>
      <w:r w:rsidRPr="002C4FEF">
        <w:rPr>
          <w:rFonts w:ascii="Calibri" w:eastAsia="Calibri" w:hAnsi="Calibri" w:cs="Calibri"/>
          <w:spacing w:val="-2"/>
          <w:lang w:eastAsia="en-US"/>
        </w:rPr>
        <w:t>l</w:t>
      </w:r>
      <w:r w:rsidRPr="002C4FEF">
        <w:rPr>
          <w:rFonts w:ascii="Calibri" w:eastAsia="Calibri" w:hAnsi="Calibri" w:cs="Calibri"/>
          <w:lang w:eastAsia="en-US"/>
        </w:rPr>
        <w:t>d</w:t>
      </w:r>
      <w:r w:rsidRPr="002C4FEF">
        <w:rPr>
          <w:rFonts w:ascii="Calibri" w:eastAsia="Calibri" w:hAnsi="Calibri" w:cs="Calibri"/>
          <w:spacing w:val="6"/>
          <w:lang w:eastAsia="en-US"/>
        </w:rPr>
        <w:t xml:space="preserve"> </w:t>
      </w:r>
      <w:r w:rsidRPr="002C4FEF">
        <w:rPr>
          <w:rFonts w:ascii="Calibri" w:eastAsia="Calibri" w:hAnsi="Calibri" w:cs="Calibri"/>
          <w:spacing w:val="1"/>
          <w:lang w:eastAsia="en-US"/>
        </w:rPr>
        <w:t>b</w:t>
      </w:r>
      <w:r w:rsidRPr="002C4FEF">
        <w:rPr>
          <w:rFonts w:ascii="Calibri" w:eastAsia="Calibri" w:hAnsi="Calibri" w:cs="Calibri"/>
          <w:lang w:eastAsia="en-US"/>
        </w:rPr>
        <w:t>e</w:t>
      </w:r>
      <w:r w:rsidRPr="002C4FEF">
        <w:rPr>
          <w:rFonts w:ascii="Calibri" w:eastAsia="Calibri" w:hAnsi="Calibri" w:cs="Calibri"/>
          <w:spacing w:val="9"/>
          <w:lang w:eastAsia="en-US"/>
        </w:rPr>
        <w:t xml:space="preserve"> </w:t>
      </w:r>
      <w:r w:rsidRPr="002C4FEF">
        <w:rPr>
          <w:rFonts w:ascii="Calibri" w:eastAsia="Calibri" w:hAnsi="Calibri" w:cs="Calibri"/>
          <w:spacing w:val="-2"/>
          <w:lang w:eastAsia="en-US"/>
        </w:rPr>
        <w:t>a</w:t>
      </w:r>
      <w:r w:rsidRPr="002C4FEF">
        <w:rPr>
          <w:rFonts w:ascii="Calibri" w:eastAsia="Calibri" w:hAnsi="Calibri" w:cs="Calibri"/>
          <w:spacing w:val="1"/>
          <w:lang w:eastAsia="en-US"/>
        </w:rPr>
        <w:t>tt</w:t>
      </w:r>
      <w:r w:rsidRPr="002C4FEF">
        <w:rPr>
          <w:rFonts w:ascii="Calibri" w:eastAsia="Calibri" w:hAnsi="Calibri" w:cs="Calibri"/>
          <w:lang w:eastAsia="en-US"/>
        </w:rPr>
        <w:t>r</w:t>
      </w:r>
      <w:r w:rsidRPr="002C4FEF">
        <w:rPr>
          <w:rFonts w:ascii="Calibri" w:eastAsia="Calibri" w:hAnsi="Calibri" w:cs="Calibri"/>
          <w:spacing w:val="-2"/>
          <w:lang w:eastAsia="en-US"/>
        </w:rPr>
        <w:t>i</w:t>
      </w:r>
      <w:r w:rsidRPr="002C4FEF">
        <w:rPr>
          <w:rFonts w:ascii="Calibri" w:eastAsia="Calibri" w:hAnsi="Calibri" w:cs="Calibri"/>
          <w:spacing w:val="-1"/>
          <w:lang w:eastAsia="en-US"/>
        </w:rPr>
        <w:t>b</w:t>
      </w:r>
      <w:r w:rsidRPr="002C4FEF">
        <w:rPr>
          <w:rFonts w:ascii="Calibri" w:eastAsia="Calibri" w:hAnsi="Calibri" w:cs="Calibri"/>
          <w:spacing w:val="1"/>
          <w:lang w:eastAsia="en-US"/>
        </w:rPr>
        <w:t>ut</w:t>
      </w:r>
      <w:r w:rsidRPr="002C4FEF">
        <w:rPr>
          <w:rFonts w:ascii="Calibri" w:eastAsia="Calibri" w:hAnsi="Calibri" w:cs="Calibri"/>
          <w:spacing w:val="-2"/>
          <w:lang w:eastAsia="en-US"/>
        </w:rPr>
        <w:t>e</w:t>
      </w:r>
      <w:r w:rsidRPr="002C4FEF">
        <w:rPr>
          <w:rFonts w:ascii="Calibri" w:eastAsia="Calibri" w:hAnsi="Calibri" w:cs="Calibri"/>
          <w:lang w:eastAsia="en-US"/>
        </w:rPr>
        <w:t>d</w:t>
      </w:r>
      <w:r w:rsidRPr="002C4FEF">
        <w:rPr>
          <w:rFonts w:ascii="Calibri" w:eastAsia="Calibri" w:hAnsi="Calibri" w:cs="Calibri"/>
          <w:spacing w:val="1"/>
          <w:lang w:eastAsia="en-US"/>
        </w:rPr>
        <w:t xml:space="preserve"> </w:t>
      </w:r>
      <w:r w:rsidRPr="002C4FEF">
        <w:rPr>
          <w:rFonts w:ascii="Calibri" w:eastAsia="Calibri" w:hAnsi="Calibri" w:cs="Calibri"/>
          <w:lang w:eastAsia="en-US"/>
        </w:rPr>
        <w:t>as</w:t>
      </w:r>
      <w:r w:rsidRPr="002C4FEF">
        <w:rPr>
          <w:rFonts w:ascii="Calibri" w:eastAsia="Calibri" w:hAnsi="Calibri" w:cs="Calibri"/>
          <w:spacing w:val="7"/>
          <w:lang w:eastAsia="en-US"/>
        </w:rPr>
        <w:t xml:space="preserve"> </w:t>
      </w:r>
      <w:r w:rsidRPr="002C4FEF">
        <w:rPr>
          <w:rFonts w:ascii="Calibri" w:eastAsia="Calibri" w:hAnsi="Calibri" w:cs="Calibri"/>
          <w:spacing w:val="1"/>
          <w:lang w:eastAsia="en-US"/>
        </w:rPr>
        <w:t>t</w:t>
      </w:r>
      <w:r w:rsidRPr="002C4FEF">
        <w:rPr>
          <w:rFonts w:ascii="Calibri" w:eastAsia="Calibri" w:hAnsi="Calibri" w:cs="Calibri"/>
          <w:spacing w:val="-1"/>
          <w:lang w:eastAsia="en-US"/>
        </w:rPr>
        <w:t>h</w:t>
      </w:r>
      <w:r w:rsidRPr="002C4FEF">
        <w:rPr>
          <w:rFonts w:ascii="Calibri" w:eastAsia="Calibri" w:hAnsi="Calibri" w:cs="Calibri"/>
          <w:lang w:eastAsia="en-US"/>
        </w:rPr>
        <w:t>e</w:t>
      </w:r>
      <w:r w:rsidRPr="002C4FEF">
        <w:rPr>
          <w:rFonts w:ascii="Calibri" w:eastAsia="Calibri" w:hAnsi="Calibri" w:cs="Calibri"/>
          <w:spacing w:val="11"/>
          <w:lang w:eastAsia="en-US"/>
        </w:rPr>
        <w:t xml:space="preserve"> </w:t>
      </w:r>
      <w:r w:rsidRPr="002C4FEF">
        <w:rPr>
          <w:rFonts w:ascii="Calibri" w:eastAsia="Calibri" w:hAnsi="Calibri" w:cs="Calibri"/>
          <w:i/>
          <w:spacing w:val="11"/>
          <w:lang w:eastAsia="en-US"/>
        </w:rPr>
        <w:t>ABDR/</w:t>
      </w:r>
      <w:proofErr w:type="spellStart"/>
      <w:r w:rsidRPr="002C4FEF">
        <w:rPr>
          <w:rFonts w:ascii="Calibri" w:eastAsia="Calibri" w:hAnsi="Calibri" w:cs="Calibri"/>
          <w:i/>
          <w:spacing w:val="11"/>
          <w:lang w:eastAsia="en-US"/>
        </w:rPr>
        <w:t>MyABDR</w:t>
      </w:r>
      <w:proofErr w:type="spellEnd"/>
      <w:r w:rsidRPr="002C4FEF">
        <w:rPr>
          <w:rFonts w:ascii="Calibri" w:eastAsia="Calibri" w:hAnsi="Calibri" w:cs="Calibri"/>
          <w:i/>
          <w:spacing w:val="11"/>
          <w:lang w:eastAsia="en-US"/>
        </w:rPr>
        <w:t xml:space="preserve"> </w:t>
      </w:r>
      <w:r w:rsidR="00F85F6A">
        <w:rPr>
          <w:rFonts w:ascii="Calibri" w:eastAsia="Calibri" w:hAnsi="Calibri" w:cs="Calibri"/>
          <w:i/>
          <w:spacing w:val="11"/>
          <w:lang w:eastAsia="en-US"/>
        </w:rPr>
        <w:t>Governance Arrangements</w:t>
      </w:r>
      <w:r w:rsidRPr="002C4FEF">
        <w:rPr>
          <w:rFonts w:ascii="Calibri" w:eastAsia="Calibri" w:hAnsi="Calibri" w:cs="Calibri"/>
          <w:i/>
          <w:lang w:eastAsia="en-US"/>
        </w:rPr>
        <w:t xml:space="preserve"> (v</w:t>
      </w:r>
      <w:r w:rsidR="00F85F6A">
        <w:rPr>
          <w:rFonts w:ascii="Calibri" w:eastAsia="Calibri" w:hAnsi="Calibri" w:cs="Calibri"/>
          <w:i/>
          <w:spacing w:val="-1"/>
          <w:lang w:eastAsia="en-US"/>
        </w:rPr>
        <w:t>ersion 3</w:t>
      </w:r>
      <w:r w:rsidRPr="002C4FEF">
        <w:rPr>
          <w:rFonts w:ascii="Calibri" w:eastAsia="Calibri" w:hAnsi="Calibri" w:cs="Calibri"/>
          <w:i/>
          <w:spacing w:val="-1"/>
          <w:lang w:eastAsia="en-US"/>
        </w:rPr>
        <w:t>.0)</w:t>
      </w:r>
      <w:r w:rsidRPr="002C4FEF">
        <w:rPr>
          <w:rFonts w:ascii="Calibri" w:eastAsia="Calibri" w:hAnsi="Calibri" w:cs="Calibri"/>
          <w:i/>
          <w:lang w:eastAsia="en-US"/>
        </w:rPr>
        <w:t xml:space="preserve"> </w:t>
      </w:r>
      <w:r w:rsidRPr="002C4FEF">
        <w:rPr>
          <w:rFonts w:ascii="Calibri" w:eastAsia="Calibri" w:hAnsi="Calibri" w:cs="Calibri"/>
          <w:spacing w:val="1"/>
          <w:lang w:eastAsia="en-US"/>
        </w:rPr>
        <w:t>pub</w:t>
      </w:r>
      <w:r w:rsidRPr="002C4FEF">
        <w:rPr>
          <w:rFonts w:ascii="Calibri" w:eastAsia="Calibri" w:hAnsi="Calibri" w:cs="Calibri"/>
          <w:lang w:eastAsia="en-US"/>
        </w:rPr>
        <w:t>li</w:t>
      </w:r>
      <w:r w:rsidRPr="002C4FEF">
        <w:rPr>
          <w:rFonts w:ascii="Calibri" w:eastAsia="Calibri" w:hAnsi="Calibri" w:cs="Calibri"/>
          <w:spacing w:val="-3"/>
          <w:lang w:eastAsia="en-US"/>
        </w:rPr>
        <w:t>s</w:t>
      </w:r>
      <w:r w:rsidRPr="002C4FEF">
        <w:rPr>
          <w:rFonts w:ascii="Calibri" w:eastAsia="Calibri" w:hAnsi="Calibri" w:cs="Calibri"/>
          <w:spacing w:val="1"/>
          <w:lang w:eastAsia="en-US"/>
        </w:rPr>
        <w:t>h</w:t>
      </w:r>
      <w:r w:rsidRPr="002C4FEF">
        <w:rPr>
          <w:rFonts w:ascii="Calibri" w:eastAsia="Calibri" w:hAnsi="Calibri" w:cs="Calibri"/>
          <w:lang w:eastAsia="en-US"/>
        </w:rPr>
        <w:t>ed</w:t>
      </w:r>
      <w:r w:rsidRPr="002C4FEF">
        <w:rPr>
          <w:rFonts w:ascii="Calibri" w:eastAsia="Calibri" w:hAnsi="Calibri" w:cs="Calibri"/>
          <w:spacing w:val="6"/>
          <w:lang w:eastAsia="en-US"/>
        </w:rPr>
        <w:t xml:space="preserve"> </w:t>
      </w:r>
      <w:r w:rsidRPr="002C4FEF">
        <w:rPr>
          <w:rFonts w:ascii="Calibri" w:eastAsia="Calibri" w:hAnsi="Calibri" w:cs="Calibri"/>
          <w:spacing w:val="1"/>
          <w:lang w:eastAsia="en-US"/>
        </w:rPr>
        <w:t>b</w:t>
      </w:r>
      <w:r w:rsidRPr="002C4FEF">
        <w:rPr>
          <w:rFonts w:ascii="Calibri" w:eastAsia="Calibri" w:hAnsi="Calibri" w:cs="Calibri"/>
          <w:lang w:eastAsia="en-US"/>
        </w:rPr>
        <w:t>y</w:t>
      </w:r>
      <w:r w:rsidRPr="002C4FEF">
        <w:rPr>
          <w:rFonts w:ascii="Calibri" w:eastAsia="Calibri" w:hAnsi="Calibri" w:cs="Calibri"/>
          <w:spacing w:val="3"/>
          <w:lang w:eastAsia="en-US"/>
        </w:rPr>
        <w:t xml:space="preserve"> </w:t>
      </w:r>
      <w:r w:rsidRPr="002C4FEF">
        <w:rPr>
          <w:rFonts w:ascii="Calibri" w:eastAsia="Calibri" w:hAnsi="Calibri" w:cs="Calibri"/>
          <w:spacing w:val="-1"/>
          <w:lang w:eastAsia="en-US"/>
        </w:rPr>
        <w:t>t</w:t>
      </w:r>
      <w:r w:rsidRPr="002C4FEF">
        <w:rPr>
          <w:rFonts w:ascii="Calibri" w:eastAsia="Calibri" w:hAnsi="Calibri" w:cs="Calibri"/>
          <w:spacing w:val="1"/>
          <w:lang w:eastAsia="en-US"/>
        </w:rPr>
        <w:t>h</w:t>
      </w:r>
      <w:r w:rsidRPr="002C4FEF">
        <w:rPr>
          <w:rFonts w:ascii="Calibri" w:eastAsia="Calibri" w:hAnsi="Calibri" w:cs="Calibri"/>
          <w:lang w:eastAsia="en-US"/>
        </w:rPr>
        <w:t xml:space="preserve">e </w:t>
      </w:r>
      <w:r w:rsidRPr="002C4FEF">
        <w:rPr>
          <w:rFonts w:ascii="Calibri" w:eastAsia="Calibri" w:hAnsi="Calibri" w:cs="Calibri"/>
          <w:spacing w:val="1"/>
          <w:position w:val="1"/>
          <w:lang w:eastAsia="en-US"/>
        </w:rPr>
        <w:t>N</w:t>
      </w:r>
      <w:r w:rsidRPr="002C4FEF">
        <w:rPr>
          <w:rFonts w:ascii="Calibri" w:eastAsia="Calibri" w:hAnsi="Calibri" w:cs="Calibri"/>
          <w:position w:val="1"/>
          <w:lang w:eastAsia="en-US"/>
        </w:rPr>
        <w:t>a</w:t>
      </w:r>
      <w:r w:rsidRPr="002C4FEF">
        <w:rPr>
          <w:rFonts w:ascii="Calibri" w:eastAsia="Calibri" w:hAnsi="Calibri" w:cs="Calibri"/>
          <w:spacing w:val="1"/>
          <w:position w:val="1"/>
          <w:lang w:eastAsia="en-US"/>
        </w:rPr>
        <w:t>t</w:t>
      </w:r>
      <w:r w:rsidRPr="002C4FEF">
        <w:rPr>
          <w:rFonts w:ascii="Calibri" w:eastAsia="Calibri" w:hAnsi="Calibri" w:cs="Calibri"/>
          <w:position w:val="1"/>
          <w:lang w:eastAsia="en-US"/>
        </w:rPr>
        <w:t>i</w:t>
      </w:r>
      <w:r w:rsidRPr="002C4FEF">
        <w:rPr>
          <w:rFonts w:ascii="Calibri" w:eastAsia="Calibri" w:hAnsi="Calibri" w:cs="Calibri"/>
          <w:spacing w:val="-2"/>
          <w:position w:val="1"/>
          <w:lang w:eastAsia="en-US"/>
        </w:rPr>
        <w:t>o</w:t>
      </w:r>
      <w:r w:rsidRPr="002C4FEF">
        <w:rPr>
          <w:rFonts w:ascii="Calibri" w:eastAsia="Calibri" w:hAnsi="Calibri" w:cs="Calibri"/>
          <w:spacing w:val="1"/>
          <w:position w:val="1"/>
          <w:lang w:eastAsia="en-US"/>
        </w:rPr>
        <w:t>n</w:t>
      </w:r>
      <w:r w:rsidRPr="002C4FEF">
        <w:rPr>
          <w:rFonts w:ascii="Calibri" w:eastAsia="Calibri" w:hAnsi="Calibri" w:cs="Calibri"/>
          <w:position w:val="1"/>
          <w:lang w:eastAsia="en-US"/>
        </w:rPr>
        <w:t>al</w:t>
      </w:r>
      <w:r w:rsidRPr="002C4FEF">
        <w:rPr>
          <w:rFonts w:ascii="Calibri" w:eastAsia="Calibri" w:hAnsi="Calibri" w:cs="Calibri"/>
          <w:spacing w:val="-3"/>
          <w:position w:val="1"/>
          <w:lang w:eastAsia="en-US"/>
        </w:rPr>
        <w:t xml:space="preserve"> </w:t>
      </w:r>
      <w:r w:rsidRPr="002C4FEF">
        <w:rPr>
          <w:rFonts w:ascii="Calibri" w:eastAsia="Calibri" w:hAnsi="Calibri" w:cs="Calibri"/>
          <w:spacing w:val="-1"/>
          <w:position w:val="1"/>
          <w:lang w:eastAsia="en-US"/>
        </w:rPr>
        <w:t>B</w:t>
      </w:r>
      <w:r w:rsidRPr="002C4FEF">
        <w:rPr>
          <w:rFonts w:ascii="Calibri" w:eastAsia="Calibri" w:hAnsi="Calibri" w:cs="Calibri"/>
          <w:position w:val="1"/>
          <w:lang w:eastAsia="en-US"/>
        </w:rPr>
        <w:t>l</w:t>
      </w:r>
      <w:r w:rsidRPr="002C4FEF">
        <w:rPr>
          <w:rFonts w:ascii="Calibri" w:eastAsia="Calibri" w:hAnsi="Calibri" w:cs="Calibri"/>
          <w:spacing w:val="-4"/>
          <w:position w:val="1"/>
          <w:lang w:eastAsia="en-US"/>
        </w:rPr>
        <w:t>o</w:t>
      </w:r>
      <w:r w:rsidRPr="002C4FEF">
        <w:rPr>
          <w:rFonts w:ascii="Calibri" w:eastAsia="Calibri" w:hAnsi="Calibri" w:cs="Calibri"/>
          <w:spacing w:val="1"/>
          <w:position w:val="1"/>
          <w:lang w:eastAsia="en-US"/>
        </w:rPr>
        <w:t>o</w:t>
      </w:r>
      <w:r w:rsidRPr="002C4FEF">
        <w:rPr>
          <w:rFonts w:ascii="Calibri" w:eastAsia="Calibri" w:hAnsi="Calibri" w:cs="Calibri"/>
          <w:position w:val="1"/>
          <w:lang w:eastAsia="en-US"/>
        </w:rPr>
        <w:t>d</w:t>
      </w:r>
      <w:r w:rsidRPr="002C4FEF">
        <w:rPr>
          <w:rFonts w:ascii="Calibri" w:eastAsia="Calibri" w:hAnsi="Calibri" w:cs="Calibri"/>
          <w:spacing w:val="1"/>
          <w:position w:val="1"/>
          <w:lang w:eastAsia="en-US"/>
        </w:rPr>
        <w:t xml:space="preserve"> </w:t>
      </w:r>
      <w:r w:rsidRPr="002C4FEF">
        <w:rPr>
          <w:rFonts w:ascii="Calibri" w:eastAsia="Calibri" w:hAnsi="Calibri" w:cs="Calibri"/>
          <w:spacing w:val="-2"/>
          <w:position w:val="1"/>
          <w:lang w:eastAsia="en-US"/>
        </w:rPr>
        <w:t>A</w:t>
      </w:r>
      <w:r w:rsidRPr="002C4FEF">
        <w:rPr>
          <w:rFonts w:ascii="Calibri" w:eastAsia="Calibri" w:hAnsi="Calibri" w:cs="Calibri"/>
          <w:spacing w:val="-1"/>
          <w:position w:val="1"/>
          <w:lang w:eastAsia="en-US"/>
        </w:rPr>
        <w:t>u</w:t>
      </w:r>
      <w:r w:rsidRPr="002C4FEF">
        <w:rPr>
          <w:rFonts w:ascii="Calibri" w:eastAsia="Calibri" w:hAnsi="Calibri" w:cs="Calibri"/>
          <w:spacing w:val="1"/>
          <w:position w:val="1"/>
          <w:lang w:eastAsia="en-US"/>
        </w:rPr>
        <w:t>th</w:t>
      </w:r>
      <w:r w:rsidRPr="002C4FEF">
        <w:rPr>
          <w:rFonts w:ascii="Calibri" w:eastAsia="Calibri" w:hAnsi="Calibri" w:cs="Calibri"/>
          <w:position w:val="1"/>
          <w:lang w:eastAsia="en-US"/>
        </w:rPr>
        <w:t>or</w:t>
      </w:r>
      <w:r w:rsidRPr="002C4FEF">
        <w:rPr>
          <w:rFonts w:ascii="Calibri" w:eastAsia="Calibri" w:hAnsi="Calibri" w:cs="Calibri"/>
          <w:spacing w:val="-2"/>
          <w:position w:val="1"/>
          <w:lang w:eastAsia="en-US"/>
        </w:rPr>
        <w:t>i</w:t>
      </w:r>
      <w:r w:rsidRPr="002C4FEF">
        <w:rPr>
          <w:rFonts w:ascii="Calibri" w:eastAsia="Calibri" w:hAnsi="Calibri" w:cs="Calibri"/>
          <w:spacing w:val="2"/>
          <w:position w:val="1"/>
          <w:lang w:eastAsia="en-US"/>
        </w:rPr>
        <w:t>t</w:t>
      </w:r>
      <w:r w:rsidRPr="002C4FEF">
        <w:rPr>
          <w:rFonts w:ascii="Calibri" w:eastAsia="Calibri" w:hAnsi="Calibri" w:cs="Calibri"/>
          <w:spacing w:val="-5"/>
          <w:position w:val="1"/>
          <w:lang w:eastAsia="en-US"/>
        </w:rPr>
        <w:t>y, Australia</w:t>
      </w:r>
      <w:r w:rsidRPr="002C4FEF">
        <w:rPr>
          <w:rFonts w:ascii="Calibri" w:eastAsia="Calibri" w:hAnsi="Calibri" w:cs="Calibri"/>
          <w:position w:val="1"/>
          <w:lang w:eastAsia="en-US"/>
        </w:rPr>
        <w:t>.</w:t>
      </w:r>
    </w:p>
    <w:p w:rsidR="002C4FEF" w:rsidRPr="002C4FEF" w:rsidRDefault="002C4FEF" w:rsidP="002C4FEF">
      <w:pPr>
        <w:spacing w:before="0" w:after="200"/>
        <w:rPr>
          <w:rFonts w:ascii="Calibri" w:eastAsia="Calibri" w:hAnsi="Calibri" w:cs="Calibri"/>
          <w:position w:val="1"/>
          <w:lang w:eastAsia="en-US"/>
        </w:rPr>
      </w:pPr>
    </w:p>
    <w:p w:rsidR="002C4FEF" w:rsidRPr="002C4FEF" w:rsidRDefault="002C4FEF" w:rsidP="002C4FEF">
      <w:pPr>
        <w:outlineLvl w:val="2"/>
        <w:rPr>
          <w:rFonts w:eastAsia="Dotum" w:cs="Arial"/>
          <w:color w:val="C60C30"/>
          <w:sz w:val="28"/>
          <w:szCs w:val="28"/>
          <w:lang w:eastAsia="en-US"/>
        </w:rPr>
      </w:pPr>
      <w:bookmarkStart w:id="2" w:name="_Toc405284947"/>
      <w:r w:rsidRPr="002C4FEF">
        <w:rPr>
          <w:rFonts w:eastAsia="Dotum" w:cs="Arial"/>
          <w:color w:val="C60C30"/>
          <w:sz w:val="28"/>
          <w:szCs w:val="28"/>
          <w:lang w:eastAsia="en-US"/>
        </w:rPr>
        <w:t>Document history</w:t>
      </w:r>
      <w:bookmarkEnd w:id="2"/>
    </w:p>
    <w:tbl>
      <w:tblPr>
        <w:tblStyle w:val="TableGrid2"/>
        <w:tblW w:w="9549" w:type="dxa"/>
        <w:tblLook w:val="04A0" w:firstRow="1" w:lastRow="0" w:firstColumn="1" w:lastColumn="0" w:noHBand="0" w:noVBand="1"/>
      </w:tblPr>
      <w:tblGrid>
        <w:gridCol w:w="1951"/>
        <w:gridCol w:w="1985"/>
        <w:gridCol w:w="1701"/>
        <w:gridCol w:w="3912"/>
      </w:tblGrid>
      <w:tr w:rsidR="002C4FEF" w:rsidRPr="004126FB" w:rsidTr="002C4FEF">
        <w:tc>
          <w:tcPr>
            <w:tcW w:w="1951" w:type="dxa"/>
          </w:tcPr>
          <w:p w:rsidR="002C4FEF" w:rsidRPr="004126FB" w:rsidRDefault="002C4FEF" w:rsidP="002C4FEF">
            <w:pPr>
              <w:spacing w:before="60" w:after="60"/>
              <w:jc w:val="center"/>
              <w:rPr>
                <w:b/>
              </w:rPr>
            </w:pPr>
            <w:r w:rsidRPr="004126FB">
              <w:rPr>
                <w:b/>
              </w:rPr>
              <w:t>Version number</w:t>
            </w:r>
          </w:p>
        </w:tc>
        <w:tc>
          <w:tcPr>
            <w:tcW w:w="1985" w:type="dxa"/>
          </w:tcPr>
          <w:p w:rsidR="002C4FEF" w:rsidRPr="004126FB" w:rsidRDefault="002C4FEF" w:rsidP="002C4FEF">
            <w:pPr>
              <w:spacing w:before="60" w:after="60"/>
              <w:jc w:val="center"/>
              <w:rPr>
                <w:b/>
              </w:rPr>
            </w:pPr>
            <w:r>
              <w:rPr>
                <w:b/>
              </w:rPr>
              <w:t>Date approved</w:t>
            </w:r>
          </w:p>
        </w:tc>
        <w:tc>
          <w:tcPr>
            <w:tcW w:w="1701" w:type="dxa"/>
          </w:tcPr>
          <w:p w:rsidR="002C4FEF" w:rsidRPr="004126FB" w:rsidRDefault="002C4FEF" w:rsidP="002C4FEF">
            <w:pPr>
              <w:spacing w:before="60" w:after="60"/>
              <w:jc w:val="center"/>
              <w:rPr>
                <w:b/>
              </w:rPr>
            </w:pPr>
            <w:r>
              <w:rPr>
                <w:b/>
              </w:rPr>
              <w:t>Approver</w:t>
            </w:r>
          </w:p>
        </w:tc>
        <w:tc>
          <w:tcPr>
            <w:tcW w:w="3912" w:type="dxa"/>
          </w:tcPr>
          <w:p w:rsidR="002C4FEF" w:rsidRPr="004126FB" w:rsidRDefault="002C4FEF" w:rsidP="002C4FEF">
            <w:pPr>
              <w:spacing w:before="60" w:after="60"/>
              <w:jc w:val="center"/>
              <w:rPr>
                <w:b/>
              </w:rPr>
            </w:pPr>
            <w:r>
              <w:rPr>
                <w:b/>
              </w:rPr>
              <w:t>Notes</w:t>
            </w:r>
          </w:p>
        </w:tc>
      </w:tr>
      <w:tr w:rsidR="002C4FEF" w:rsidTr="002C4FEF">
        <w:tc>
          <w:tcPr>
            <w:tcW w:w="1951" w:type="dxa"/>
          </w:tcPr>
          <w:p w:rsidR="002C4FEF" w:rsidRDefault="002C4FEF" w:rsidP="002C4FEF">
            <w:pPr>
              <w:spacing w:before="60" w:after="60"/>
            </w:pPr>
            <w:r>
              <w:t>Version 1.0</w:t>
            </w:r>
          </w:p>
        </w:tc>
        <w:tc>
          <w:tcPr>
            <w:tcW w:w="1985" w:type="dxa"/>
          </w:tcPr>
          <w:p w:rsidR="002C4FEF" w:rsidRDefault="002C4FEF" w:rsidP="002C4FEF">
            <w:pPr>
              <w:spacing w:before="60" w:after="60"/>
            </w:pPr>
            <w:r>
              <w:t>December 2008</w:t>
            </w:r>
          </w:p>
        </w:tc>
        <w:tc>
          <w:tcPr>
            <w:tcW w:w="1701" w:type="dxa"/>
          </w:tcPr>
          <w:p w:rsidR="002C4FEF" w:rsidRDefault="002C4FEF" w:rsidP="002C4FEF">
            <w:pPr>
              <w:spacing w:before="60" w:after="60"/>
            </w:pPr>
            <w:r>
              <w:t>NBA General Manager</w:t>
            </w:r>
          </w:p>
        </w:tc>
        <w:tc>
          <w:tcPr>
            <w:tcW w:w="3912" w:type="dxa"/>
          </w:tcPr>
          <w:p w:rsidR="002C4FEF" w:rsidRDefault="002C4FEF" w:rsidP="002C4FEF">
            <w:pPr>
              <w:spacing w:before="60" w:after="60"/>
            </w:pPr>
            <w:r>
              <w:t>Initial document</w:t>
            </w:r>
          </w:p>
        </w:tc>
      </w:tr>
      <w:tr w:rsidR="002C4FEF" w:rsidTr="002C4FEF">
        <w:tc>
          <w:tcPr>
            <w:tcW w:w="1951" w:type="dxa"/>
          </w:tcPr>
          <w:p w:rsidR="002C4FEF" w:rsidRDefault="002C4FEF" w:rsidP="002C4FEF">
            <w:pPr>
              <w:spacing w:before="60" w:after="60"/>
            </w:pPr>
            <w:r>
              <w:t>Version 2.0</w:t>
            </w:r>
          </w:p>
        </w:tc>
        <w:tc>
          <w:tcPr>
            <w:tcW w:w="1985" w:type="dxa"/>
          </w:tcPr>
          <w:p w:rsidR="002C4FEF" w:rsidRDefault="002C4FEF" w:rsidP="002C4FEF">
            <w:pPr>
              <w:spacing w:before="60" w:after="60"/>
            </w:pPr>
            <w:r>
              <w:t>September 2011</w:t>
            </w:r>
          </w:p>
        </w:tc>
        <w:tc>
          <w:tcPr>
            <w:tcW w:w="1701" w:type="dxa"/>
          </w:tcPr>
          <w:p w:rsidR="002C4FEF" w:rsidRDefault="002C4FEF" w:rsidP="002C4FEF">
            <w:pPr>
              <w:spacing w:before="60" w:after="60"/>
            </w:pPr>
            <w:r>
              <w:t>NBA General Manager</w:t>
            </w:r>
          </w:p>
        </w:tc>
        <w:tc>
          <w:tcPr>
            <w:tcW w:w="3912" w:type="dxa"/>
          </w:tcPr>
          <w:p w:rsidR="002C4FEF" w:rsidRDefault="002C4FEF" w:rsidP="002C4FEF">
            <w:pPr>
              <w:spacing w:before="60" w:after="60"/>
            </w:pPr>
            <w:r>
              <w:t>Revised document</w:t>
            </w:r>
          </w:p>
        </w:tc>
      </w:tr>
      <w:tr w:rsidR="002C4FEF" w:rsidTr="002C4FEF">
        <w:tc>
          <w:tcPr>
            <w:tcW w:w="1951" w:type="dxa"/>
          </w:tcPr>
          <w:p w:rsidR="002C4FEF" w:rsidRDefault="002C4FEF" w:rsidP="002C4FEF">
            <w:pPr>
              <w:spacing w:before="60" w:after="60"/>
            </w:pPr>
            <w:r>
              <w:t>Version 3.0</w:t>
            </w:r>
          </w:p>
        </w:tc>
        <w:tc>
          <w:tcPr>
            <w:tcW w:w="1985" w:type="dxa"/>
          </w:tcPr>
          <w:p w:rsidR="002C4FEF" w:rsidRDefault="00C205A7" w:rsidP="002C4FEF">
            <w:pPr>
              <w:spacing w:before="60" w:after="60"/>
            </w:pPr>
            <w:r>
              <w:t>21 January 2015</w:t>
            </w:r>
          </w:p>
        </w:tc>
        <w:tc>
          <w:tcPr>
            <w:tcW w:w="1701" w:type="dxa"/>
          </w:tcPr>
          <w:p w:rsidR="002C4FEF" w:rsidRDefault="002C4FEF" w:rsidP="002C4FEF">
            <w:pPr>
              <w:spacing w:before="60" w:after="60"/>
            </w:pPr>
            <w:r>
              <w:t>NBA General Manager</w:t>
            </w:r>
          </w:p>
        </w:tc>
        <w:tc>
          <w:tcPr>
            <w:tcW w:w="3912" w:type="dxa"/>
          </w:tcPr>
          <w:p w:rsidR="002C4FEF" w:rsidRDefault="002C4FEF" w:rsidP="002C4FEF">
            <w:pPr>
              <w:spacing w:before="60" w:after="60"/>
            </w:pPr>
            <w:r>
              <w:t>Revised document</w:t>
            </w:r>
          </w:p>
        </w:tc>
      </w:tr>
    </w:tbl>
    <w:p w:rsidR="002C4FEF" w:rsidRPr="002C4FEF" w:rsidRDefault="002C4FEF" w:rsidP="002C4FEF">
      <w:pPr>
        <w:spacing w:before="0" w:after="200"/>
        <w:rPr>
          <w:rFonts w:ascii="Calibri" w:eastAsia="Dotum" w:hAnsi="Calibri" w:cs="Calibri"/>
          <w:sz w:val="22"/>
          <w:szCs w:val="22"/>
          <w:lang w:eastAsia="en-US"/>
        </w:rPr>
      </w:pPr>
    </w:p>
    <w:p w:rsidR="00BF3A1A" w:rsidRPr="00BF3A1A" w:rsidRDefault="002C4FEF" w:rsidP="00BF3A1A">
      <w:pPr>
        <w:pStyle w:val="TOC1"/>
        <w:rPr>
          <w:b/>
        </w:rPr>
      </w:pPr>
      <w:bookmarkStart w:id="3" w:name="_GoBack"/>
      <w:bookmarkEnd w:id="3"/>
      <w:r>
        <w:rPr>
          <w:b/>
        </w:rPr>
        <w:br w:type="page"/>
      </w:r>
      <w:r w:rsidR="00BF3A1A">
        <w:rPr>
          <w:b/>
        </w:rPr>
        <w:lastRenderedPageBreak/>
        <w:t>TABLE OF CONTENTS</w:t>
      </w:r>
    </w:p>
    <w:p w:rsidR="00BF3A1A" w:rsidRDefault="00BF3A1A" w:rsidP="00BF3A1A">
      <w:pPr>
        <w:pStyle w:val="TOC1"/>
      </w:pPr>
    </w:p>
    <w:p w:rsidR="00B51ABC" w:rsidRDefault="003D1379">
      <w:pPr>
        <w:pStyle w:val="TOC1"/>
        <w:rPr>
          <w:rFonts w:asciiTheme="minorHAnsi" w:eastAsiaTheme="minorEastAsia" w:hAnsiTheme="minorHAnsi" w:cstheme="minorBidi"/>
          <w:noProof/>
          <w:sz w:val="22"/>
          <w:szCs w:val="22"/>
        </w:rPr>
      </w:pPr>
      <w:r>
        <w:rPr>
          <w:b/>
        </w:rPr>
        <w:fldChar w:fldCharType="begin"/>
      </w:r>
      <w:r>
        <w:rPr>
          <w:b/>
        </w:rPr>
        <w:instrText xml:space="preserve"> TOC \o "1-1" \h \z \u </w:instrText>
      </w:r>
      <w:r>
        <w:rPr>
          <w:b/>
        </w:rPr>
        <w:fldChar w:fldCharType="separate"/>
      </w:r>
      <w:hyperlink w:anchor="_Toc405296103" w:history="1">
        <w:r w:rsidR="00B51ABC" w:rsidRPr="001E2BAD">
          <w:rPr>
            <w:rStyle w:val="Hyperlink"/>
            <w:noProof/>
          </w:rPr>
          <w:t>PREAMBLE</w:t>
        </w:r>
        <w:r w:rsidR="00B51ABC">
          <w:rPr>
            <w:noProof/>
            <w:webHidden/>
          </w:rPr>
          <w:tab/>
        </w:r>
        <w:r w:rsidR="00B51ABC">
          <w:rPr>
            <w:noProof/>
            <w:webHidden/>
          </w:rPr>
          <w:fldChar w:fldCharType="begin"/>
        </w:r>
        <w:r w:rsidR="00B51ABC">
          <w:rPr>
            <w:noProof/>
            <w:webHidden/>
          </w:rPr>
          <w:instrText xml:space="preserve"> PAGEREF _Toc405296103 \h </w:instrText>
        </w:r>
        <w:r w:rsidR="00B51ABC">
          <w:rPr>
            <w:noProof/>
            <w:webHidden/>
          </w:rPr>
        </w:r>
        <w:r w:rsidR="00B51ABC">
          <w:rPr>
            <w:noProof/>
            <w:webHidden/>
          </w:rPr>
          <w:fldChar w:fldCharType="separate"/>
        </w:r>
        <w:r w:rsidR="00C205A7">
          <w:rPr>
            <w:noProof/>
            <w:webHidden/>
          </w:rPr>
          <w:t>1</w:t>
        </w:r>
        <w:r w:rsidR="00B51ABC">
          <w:rPr>
            <w:noProof/>
            <w:webHidden/>
          </w:rPr>
          <w:fldChar w:fldCharType="end"/>
        </w:r>
      </w:hyperlink>
    </w:p>
    <w:p w:rsidR="00B51ABC" w:rsidRDefault="00E95B24">
      <w:pPr>
        <w:pStyle w:val="TOC1"/>
        <w:rPr>
          <w:rFonts w:asciiTheme="minorHAnsi" w:eastAsiaTheme="minorEastAsia" w:hAnsiTheme="minorHAnsi" w:cstheme="minorBidi"/>
          <w:noProof/>
          <w:sz w:val="22"/>
          <w:szCs w:val="22"/>
        </w:rPr>
      </w:pPr>
      <w:hyperlink w:anchor="_Toc405296104" w:history="1">
        <w:r w:rsidR="00B51ABC" w:rsidRPr="001E2BAD">
          <w:rPr>
            <w:rStyle w:val="Hyperlink"/>
            <w:noProof/>
          </w:rPr>
          <w:t>INTRODUCTION</w:t>
        </w:r>
        <w:r w:rsidR="00B51ABC">
          <w:rPr>
            <w:noProof/>
            <w:webHidden/>
          </w:rPr>
          <w:tab/>
        </w:r>
        <w:r w:rsidR="00B51ABC">
          <w:rPr>
            <w:noProof/>
            <w:webHidden/>
          </w:rPr>
          <w:fldChar w:fldCharType="begin"/>
        </w:r>
        <w:r w:rsidR="00B51ABC">
          <w:rPr>
            <w:noProof/>
            <w:webHidden/>
          </w:rPr>
          <w:instrText xml:space="preserve"> PAGEREF _Toc405296104 \h </w:instrText>
        </w:r>
        <w:r w:rsidR="00B51ABC">
          <w:rPr>
            <w:noProof/>
            <w:webHidden/>
          </w:rPr>
        </w:r>
        <w:r w:rsidR="00B51ABC">
          <w:rPr>
            <w:noProof/>
            <w:webHidden/>
          </w:rPr>
          <w:fldChar w:fldCharType="separate"/>
        </w:r>
        <w:r w:rsidR="00C205A7">
          <w:rPr>
            <w:noProof/>
            <w:webHidden/>
          </w:rPr>
          <w:t>1</w:t>
        </w:r>
        <w:r w:rsidR="00B51ABC">
          <w:rPr>
            <w:noProof/>
            <w:webHidden/>
          </w:rPr>
          <w:fldChar w:fldCharType="end"/>
        </w:r>
      </w:hyperlink>
    </w:p>
    <w:p w:rsidR="00B51ABC" w:rsidRDefault="00E95B24">
      <w:pPr>
        <w:pStyle w:val="TOC1"/>
        <w:rPr>
          <w:rFonts w:asciiTheme="minorHAnsi" w:eastAsiaTheme="minorEastAsia" w:hAnsiTheme="minorHAnsi" w:cstheme="minorBidi"/>
          <w:noProof/>
          <w:sz w:val="22"/>
          <w:szCs w:val="22"/>
        </w:rPr>
      </w:pPr>
      <w:hyperlink w:anchor="_Toc405296105" w:history="1">
        <w:r w:rsidR="00B51ABC" w:rsidRPr="001E2BAD">
          <w:rPr>
            <w:rStyle w:val="Hyperlink"/>
            <w:noProof/>
          </w:rPr>
          <w:t>GOVERNANCE CONTEXT</w:t>
        </w:r>
        <w:r w:rsidR="00B51ABC">
          <w:rPr>
            <w:noProof/>
            <w:webHidden/>
          </w:rPr>
          <w:tab/>
        </w:r>
        <w:r w:rsidR="00B51ABC">
          <w:rPr>
            <w:noProof/>
            <w:webHidden/>
          </w:rPr>
          <w:fldChar w:fldCharType="begin"/>
        </w:r>
        <w:r w:rsidR="00B51ABC">
          <w:rPr>
            <w:noProof/>
            <w:webHidden/>
          </w:rPr>
          <w:instrText xml:space="preserve"> PAGEREF _Toc405296105 \h </w:instrText>
        </w:r>
        <w:r w:rsidR="00B51ABC">
          <w:rPr>
            <w:noProof/>
            <w:webHidden/>
          </w:rPr>
        </w:r>
        <w:r w:rsidR="00B51ABC">
          <w:rPr>
            <w:noProof/>
            <w:webHidden/>
          </w:rPr>
          <w:fldChar w:fldCharType="separate"/>
        </w:r>
        <w:r w:rsidR="00C205A7">
          <w:rPr>
            <w:noProof/>
            <w:webHidden/>
          </w:rPr>
          <w:t>2</w:t>
        </w:r>
        <w:r w:rsidR="00B51ABC">
          <w:rPr>
            <w:noProof/>
            <w:webHidden/>
          </w:rPr>
          <w:fldChar w:fldCharType="end"/>
        </w:r>
      </w:hyperlink>
    </w:p>
    <w:p w:rsidR="00B51ABC" w:rsidRDefault="00E95B24">
      <w:pPr>
        <w:pStyle w:val="TOC1"/>
        <w:rPr>
          <w:rFonts w:asciiTheme="minorHAnsi" w:eastAsiaTheme="minorEastAsia" w:hAnsiTheme="minorHAnsi" w:cstheme="minorBidi"/>
          <w:noProof/>
          <w:sz w:val="22"/>
          <w:szCs w:val="22"/>
        </w:rPr>
      </w:pPr>
      <w:hyperlink w:anchor="_Toc405296106" w:history="1">
        <w:r w:rsidR="00B51ABC" w:rsidRPr="001E2BAD">
          <w:rPr>
            <w:rStyle w:val="Hyperlink"/>
            <w:noProof/>
          </w:rPr>
          <w:t>Key Governance Documents</w:t>
        </w:r>
        <w:r w:rsidR="00B51ABC">
          <w:rPr>
            <w:noProof/>
            <w:webHidden/>
          </w:rPr>
          <w:tab/>
        </w:r>
        <w:r w:rsidR="00B51ABC">
          <w:rPr>
            <w:noProof/>
            <w:webHidden/>
          </w:rPr>
          <w:fldChar w:fldCharType="begin"/>
        </w:r>
        <w:r w:rsidR="00B51ABC">
          <w:rPr>
            <w:noProof/>
            <w:webHidden/>
          </w:rPr>
          <w:instrText xml:space="preserve"> PAGEREF _Toc405296106 \h </w:instrText>
        </w:r>
        <w:r w:rsidR="00B51ABC">
          <w:rPr>
            <w:noProof/>
            <w:webHidden/>
          </w:rPr>
        </w:r>
        <w:r w:rsidR="00B51ABC">
          <w:rPr>
            <w:noProof/>
            <w:webHidden/>
          </w:rPr>
          <w:fldChar w:fldCharType="separate"/>
        </w:r>
        <w:r w:rsidR="00C205A7">
          <w:rPr>
            <w:noProof/>
            <w:webHidden/>
          </w:rPr>
          <w:t>2</w:t>
        </w:r>
        <w:r w:rsidR="00B51ABC">
          <w:rPr>
            <w:noProof/>
            <w:webHidden/>
          </w:rPr>
          <w:fldChar w:fldCharType="end"/>
        </w:r>
      </w:hyperlink>
    </w:p>
    <w:p w:rsidR="00B51ABC" w:rsidRDefault="00E95B24">
      <w:pPr>
        <w:pStyle w:val="TOC1"/>
        <w:rPr>
          <w:rFonts w:asciiTheme="minorHAnsi" w:eastAsiaTheme="minorEastAsia" w:hAnsiTheme="minorHAnsi" w:cstheme="minorBidi"/>
          <w:noProof/>
          <w:sz w:val="22"/>
          <w:szCs w:val="22"/>
        </w:rPr>
      </w:pPr>
      <w:hyperlink w:anchor="_Toc405296107" w:history="1">
        <w:r w:rsidR="00B51ABC" w:rsidRPr="001E2BAD">
          <w:rPr>
            <w:rStyle w:val="Hyperlink"/>
            <w:noProof/>
          </w:rPr>
          <w:t>ROLES AND RESPONSIBILITIES</w:t>
        </w:r>
        <w:r w:rsidR="00B51ABC">
          <w:rPr>
            <w:noProof/>
            <w:webHidden/>
          </w:rPr>
          <w:tab/>
        </w:r>
        <w:r w:rsidR="00B51ABC">
          <w:rPr>
            <w:noProof/>
            <w:webHidden/>
          </w:rPr>
          <w:fldChar w:fldCharType="begin"/>
        </w:r>
        <w:r w:rsidR="00B51ABC">
          <w:rPr>
            <w:noProof/>
            <w:webHidden/>
          </w:rPr>
          <w:instrText xml:space="preserve"> PAGEREF _Toc405296107 \h </w:instrText>
        </w:r>
        <w:r w:rsidR="00B51ABC">
          <w:rPr>
            <w:noProof/>
            <w:webHidden/>
          </w:rPr>
        </w:r>
        <w:r w:rsidR="00B51ABC">
          <w:rPr>
            <w:noProof/>
            <w:webHidden/>
          </w:rPr>
          <w:fldChar w:fldCharType="separate"/>
        </w:r>
        <w:r w:rsidR="00C205A7">
          <w:rPr>
            <w:noProof/>
            <w:webHidden/>
          </w:rPr>
          <w:t>4</w:t>
        </w:r>
        <w:r w:rsidR="00B51ABC">
          <w:rPr>
            <w:noProof/>
            <w:webHidden/>
          </w:rPr>
          <w:fldChar w:fldCharType="end"/>
        </w:r>
      </w:hyperlink>
    </w:p>
    <w:p w:rsidR="00B51ABC" w:rsidRDefault="00E95B24">
      <w:pPr>
        <w:pStyle w:val="TOC1"/>
        <w:rPr>
          <w:rFonts w:asciiTheme="minorHAnsi" w:eastAsiaTheme="minorEastAsia" w:hAnsiTheme="minorHAnsi" w:cstheme="minorBidi"/>
          <w:noProof/>
          <w:sz w:val="22"/>
          <w:szCs w:val="22"/>
        </w:rPr>
      </w:pPr>
      <w:hyperlink w:anchor="_Toc405296108" w:history="1">
        <w:r w:rsidR="00B51ABC" w:rsidRPr="001E2BAD">
          <w:rPr>
            <w:rStyle w:val="Hyperlink"/>
            <w:noProof/>
          </w:rPr>
          <w:t>RELATIONSHIPS</w:t>
        </w:r>
        <w:r w:rsidR="00B51ABC">
          <w:rPr>
            <w:noProof/>
            <w:webHidden/>
          </w:rPr>
          <w:tab/>
        </w:r>
        <w:r w:rsidR="00B51ABC">
          <w:rPr>
            <w:noProof/>
            <w:webHidden/>
          </w:rPr>
          <w:fldChar w:fldCharType="begin"/>
        </w:r>
        <w:r w:rsidR="00B51ABC">
          <w:rPr>
            <w:noProof/>
            <w:webHidden/>
          </w:rPr>
          <w:instrText xml:space="preserve"> PAGEREF _Toc405296108 \h </w:instrText>
        </w:r>
        <w:r w:rsidR="00B51ABC">
          <w:rPr>
            <w:noProof/>
            <w:webHidden/>
          </w:rPr>
        </w:r>
        <w:r w:rsidR="00B51ABC">
          <w:rPr>
            <w:noProof/>
            <w:webHidden/>
          </w:rPr>
          <w:fldChar w:fldCharType="separate"/>
        </w:r>
        <w:r w:rsidR="00C205A7">
          <w:rPr>
            <w:noProof/>
            <w:webHidden/>
          </w:rPr>
          <w:t>10</w:t>
        </w:r>
        <w:r w:rsidR="00B51ABC">
          <w:rPr>
            <w:noProof/>
            <w:webHidden/>
          </w:rPr>
          <w:fldChar w:fldCharType="end"/>
        </w:r>
      </w:hyperlink>
    </w:p>
    <w:p w:rsidR="00B51ABC" w:rsidRDefault="00E95B24">
      <w:pPr>
        <w:pStyle w:val="TOC1"/>
        <w:rPr>
          <w:rFonts w:asciiTheme="minorHAnsi" w:eastAsiaTheme="minorEastAsia" w:hAnsiTheme="minorHAnsi" w:cstheme="minorBidi"/>
          <w:noProof/>
          <w:sz w:val="22"/>
          <w:szCs w:val="22"/>
        </w:rPr>
      </w:pPr>
      <w:hyperlink w:anchor="_Toc405296109" w:history="1">
        <w:r w:rsidR="00B51ABC" w:rsidRPr="001E2BAD">
          <w:rPr>
            <w:rStyle w:val="Hyperlink"/>
            <w:noProof/>
          </w:rPr>
          <w:t>WORKING ARRANGEMENTS</w:t>
        </w:r>
        <w:r w:rsidR="00B51ABC">
          <w:rPr>
            <w:noProof/>
            <w:webHidden/>
          </w:rPr>
          <w:tab/>
        </w:r>
        <w:r w:rsidR="00B51ABC">
          <w:rPr>
            <w:noProof/>
            <w:webHidden/>
          </w:rPr>
          <w:fldChar w:fldCharType="begin"/>
        </w:r>
        <w:r w:rsidR="00B51ABC">
          <w:rPr>
            <w:noProof/>
            <w:webHidden/>
          </w:rPr>
          <w:instrText xml:space="preserve"> PAGEREF _Toc405296109 \h </w:instrText>
        </w:r>
        <w:r w:rsidR="00B51ABC">
          <w:rPr>
            <w:noProof/>
            <w:webHidden/>
          </w:rPr>
        </w:r>
        <w:r w:rsidR="00B51ABC">
          <w:rPr>
            <w:noProof/>
            <w:webHidden/>
          </w:rPr>
          <w:fldChar w:fldCharType="separate"/>
        </w:r>
        <w:r w:rsidR="00C205A7">
          <w:rPr>
            <w:noProof/>
            <w:webHidden/>
          </w:rPr>
          <w:t>11</w:t>
        </w:r>
        <w:r w:rsidR="00B51ABC">
          <w:rPr>
            <w:noProof/>
            <w:webHidden/>
          </w:rPr>
          <w:fldChar w:fldCharType="end"/>
        </w:r>
      </w:hyperlink>
    </w:p>
    <w:p w:rsidR="00B51ABC" w:rsidRDefault="00E95B24" w:rsidP="00B51ABC">
      <w:pPr>
        <w:pStyle w:val="TOC1"/>
        <w:rPr>
          <w:rStyle w:val="Hyperlink"/>
          <w:noProof/>
        </w:rPr>
      </w:pPr>
      <w:hyperlink w:anchor="_Toc405296110" w:history="1">
        <w:r w:rsidR="00B51ABC" w:rsidRPr="001E2BAD">
          <w:rPr>
            <w:rStyle w:val="Hyperlink"/>
            <w:noProof/>
          </w:rPr>
          <w:t>Australian Bleeding Disorder Regi</w:t>
        </w:r>
        <w:r w:rsidR="00B51ABC">
          <w:rPr>
            <w:rStyle w:val="Hyperlink"/>
            <w:noProof/>
          </w:rPr>
          <w:t>stry Steering Committee Charter</w:t>
        </w:r>
        <w:r w:rsidR="00B51ABC">
          <w:rPr>
            <w:noProof/>
            <w:webHidden/>
          </w:rPr>
          <w:tab/>
        </w:r>
        <w:r w:rsidR="00B51ABC">
          <w:rPr>
            <w:noProof/>
            <w:webHidden/>
          </w:rPr>
          <w:fldChar w:fldCharType="begin"/>
        </w:r>
        <w:r w:rsidR="00B51ABC">
          <w:rPr>
            <w:noProof/>
            <w:webHidden/>
          </w:rPr>
          <w:instrText xml:space="preserve"> PAGEREF _Toc405296110 \h </w:instrText>
        </w:r>
        <w:r w:rsidR="00B51ABC">
          <w:rPr>
            <w:noProof/>
            <w:webHidden/>
          </w:rPr>
        </w:r>
        <w:r w:rsidR="00B51ABC">
          <w:rPr>
            <w:noProof/>
            <w:webHidden/>
          </w:rPr>
          <w:fldChar w:fldCharType="separate"/>
        </w:r>
        <w:r w:rsidR="00C205A7">
          <w:rPr>
            <w:noProof/>
            <w:webHidden/>
          </w:rPr>
          <w:t>14</w:t>
        </w:r>
        <w:r w:rsidR="00B51ABC">
          <w:rPr>
            <w:noProof/>
            <w:webHidden/>
          </w:rPr>
          <w:fldChar w:fldCharType="end"/>
        </w:r>
      </w:hyperlink>
    </w:p>
    <w:p w:rsidR="00AA1B66" w:rsidRPr="00AA1B66" w:rsidRDefault="003D1379" w:rsidP="00D56E85">
      <w:r>
        <w:rPr>
          <w:b/>
        </w:rPr>
        <w:fldChar w:fldCharType="end"/>
      </w:r>
    </w:p>
    <w:p w:rsidR="00AA1B66" w:rsidRDefault="00AA1B66" w:rsidP="00AC65E3">
      <w:pPr>
        <w:jc w:val="center"/>
        <w:rPr>
          <w:b/>
        </w:rPr>
      </w:pPr>
    </w:p>
    <w:p w:rsidR="00AA1B66" w:rsidRDefault="00AA1B66" w:rsidP="00AC65E3">
      <w:pPr>
        <w:jc w:val="center"/>
        <w:rPr>
          <w:b/>
        </w:rPr>
        <w:sectPr w:rsidR="00AA1B66" w:rsidSect="00C26271">
          <w:headerReference w:type="even" r:id="rId15"/>
          <w:footerReference w:type="even" r:id="rId16"/>
          <w:footerReference w:type="default" r:id="rId17"/>
          <w:pgSz w:w="11906" w:h="16838"/>
          <w:pgMar w:top="1440" w:right="1440" w:bottom="1440" w:left="1440" w:header="709" w:footer="709" w:gutter="0"/>
          <w:pgNumType w:start="1" w:chapStyle="1"/>
          <w:cols w:space="708"/>
          <w:titlePg/>
          <w:docGrid w:linePitch="360"/>
        </w:sectPr>
      </w:pPr>
    </w:p>
    <w:p w:rsidR="00951623" w:rsidRPr="009954EF" w:rsidRDefault="00BF22D3" w:rsidP="00AC65E3">
      <w:pPr>
        <w:jc w:val="center"/>
        <w:rPr>
          <w:b/>
        </w:rPr>
      </w:pPr>
      <w:r w:rsidRPr="009954EF">
        <w:rPr>
          <w:b/>
        </w:rPr>
        <w:lastRenderedPageBreak/>
        <w:t>AUSTRALIAN BLEEDING DISORDER</w:t>
      </w:r>
      <w:r w:rsidR="00AB2855">
        <w:rPr>
          <w:b/>
        </w:rPr>
        <w:t>S</w:t>
      </w:r>
      <w:r w:rsidRPr="009954EF">
        <w:rPr>
          <w:b/>
        </w:rPr>
        <w:t xml:space="preserve"> REGISTRY</w:t>
      </w:r>
    </w:p>
    <w:p w:rsidR="00951623" w:rsidRDefault="00BF22D3" w:rsidP="00AC65E3">
      <w:pPr>
        <w:jc w:val="center"/>
        <w:rPr>
          <w:b/>
        </w:rPr>
      </w:pPr>
      <w:r w:rsidRPr="009954EF">
        <w:rPr>
          <w:b/>
        </w:rPr>
        <w:t>GOVERNANCE ARRANGEMENTS</w:t>
      </w:r>
    </w:p>
    <w:p w:rsidR="00C4728C" w:rsidRPr="00D063B8" w:rsidRDefault="00C4728C" w:rsidP="00C4728C">
      <w:pPr>
        <w:pStyle w:val="Heading1"/>
        <w:keepNext w:val="0"/>
      </w:pPr>
      <w:bookmarkStart w:id="4" w:name="_Toc255940730"/>
      <w:bookmarkStart w:id="5" w:name="_Toc405296103"/>
      <w:r>
        <w:t>PREAMBLE</w:t>
      </w:r>
      <w:bookmarkEnd w:id="4"/>
      <w:bookmarkEnd w:id="5"/>
      <w:r w:rsidRPr="00D063B8">
        <w:t xml:space="preserve"> </w:t>
      </w:r>
    </w:p>
    <w:p w:rsidR="00C4728C" w:rsidRPr="00C4728C" w:rsidRDefault="00C4728C" w:rsidP="00C4728C">
      <w:pPr>
        <w:numPr>
          <w:ilvl w:val="0"/>
          <w:numId w:val="2"/>
        </w:numPr>
      </w:pPr>
      <w:r w:rsidRPr="00C4728C">
        <w:t>The Australian Bleeding Disorders Registry (ABDR) is established and funded by the Commonwealth, State and Territory governments, through the National Blood Authority (NBA).</w:t>
      </w:r>
    </w:p>
    <w:p w:rsidR="00C4728C" w:rsidRPr="00C4728C" w:rsidRDefault="00C4728C" w:rsidP="00C4728C">
      <w:pPr>
        <w:numPr>
          <w:ilvl w:val="0"/>
          <w:numId w:val="2"/>
        </w:numPr>
      </w:pPr>
      <w:r w:rsidRPr="00C4728C">
        <w:t>The General Manager of the NBA has established the Australian</w:t>
      </w:r>
      <w:r w:rsidR="00535132">
        <w:t xml:space="preserve"> Bleeding </w:t>
      </w:r>
      <w:r w:rsidRPr="00C4728C">
        <w:t>Disorders Registry Steering Committee (Steering Committee) under section 38 of the National Blood Authority Act 2003 (NBA Act) to assist with the performance of the NBA’s functions in relation to the ABDR.</w:t>
      </w:r>
    </w:p>
    <w:p w:rsidR="00C4728C" w:rsidRPr="00C4728C" w:rsidRDefault="00C4728C" w:rsidP="00C4728C">
      <w:pPr>
        <w:numPr>
          <w:ilvl w:val="0"/>
          <w:numId w:val="2"/>
        </w:numPr>
      </w:pPr>
      <w:r w:rsidRPr="00C4728C">
        <w:t>The NBA is responsible to the Commonwealth, State and Territory governments for ensuring that the ABDR meets the objectives for which it was established and meets all relevant stakeholder requirements.  As a Commonwealth agency, the NBA is also responsible for ensuring the operation of the ABDR is effective and efficient, and complies with all applicable legal requirements.</w:t>
      </w:r>
    </w:p>
    <w:p w:rsidR="00C4728C" w:rsidRDefault="00C4728C" w:rsidP="00C4728C">
      <w:pPr>
        <w:numPr>
          <w:ilvl w:val="0"/>
          <w:numId w:val="2"/>
        </w:numPr>
      </w:pPr>
      <w:r w:rsidRPr="00C4728C">
        <w:t xml:space="preserve">The General Manager will specify the governance </w:t>
      </w:r>
      <w:r w:rsidR="00EB18B5">
        <w:t>arrangements</w:t>
      </w:r>
      <w:r w:rsidR="00EB18B5" w:rsidRPr="00C4728C">
        <w:t xml:space="preserve"> </w:t>
      </w:r>
      <w:r w:rsidRPr="00C4728C">
        <w:t>for the ABDR in writing as appropriate from time to time.</w:t>
      </w:r>
    </w:p>
    <w:p w:rsidR="00C4728C" w:rsidRPr="00D063B8" w:rsidRDefault="00C27990" w:rsidP="00C4728C">
      <w:pPr>
        <w:pStyle w:val="Heading1"/>
        <w:keepNext w:val="0"/>
      </w:pPr>
      <w:bookmarkStart w:id="6" w:name="_Toc255940731"/>
      <w:bookmarkStart w:id="7" w:name="_Toc405296104"/>
      <w:r>
        <w:t>I</w:t>
      </w:r>
      <w:r w:rsidR="00C4728C">
        <w:t>NTRODUCTION</w:t>
      </w:r>
      <w:bookmarkEnd w:id="6"/>
      <w:bookmarkEnd w:id="7"/>
      <w:r w:rsidR="00C4728C" w:rsidRPr="00D063B8">
        <w:t xml:space="preserve"> </w:t>
      </w:r>
    </w:p>
    <w:p w:rsidR="007D22CA" w:rsidRPr="007D22CA" w:rsidRDefault="00224A0A" w:rsidP="00C4728C">
      <w:pPr>
        <w:numPr>
          <w:ilvl w:val="0"/>
          <w:numId w:val="2"/>
        </w:numPr>
        <w:rPr>
          <w:rFonts w:cs="Arial"/>
        </w:rPr>
      </w:pPr>
      <w:r>
        <w:t xml:space="preserve">The redeveloped </w:t>
      </w:r>
      <w:r w:rsidR="00AB2855">
        <w:t>Australian Bleeding Disorders Registry (</w:t>
      </w:r>
      <w:r w:rsidRPr="00F17F89">
        <w:t>ABDR</w:t>
      </w:r>
      <w:r w:rsidR="00AB2855">
        <w:t>)</w:t>
      </w:r>
      <w:r>
        <w:t xml:space="preserve"> was introduced in </w:t>
      </w:r>
      <w:r w:rsidR="001237F6">
        <w:t>December 2008</w:t>
      </w:r>
      <w:r>
        <w:t>.</w:t>
      </w:r>
      <w:r w:rsidR="007F2652">
        <w:t xml:space="preserve">  The system was further redeveloped (to version 4) in August 2014.  A patient self-recording module, </w:t>
      </w:r>
      <w:proofErr w:type="spellStart"/>
      <w:r w:rsidR="007F2652">
        <w:t>MyABDR</w:t>
      </w:r>
      <w:proofErr w:type="spellEnd"/>
      <w:r w:rsidR="007F2652">
        <w:t>, was launched in February 2014.</w:t>
      </w:r>
      <w:r>
        <w:t xml:space="preserve"> </w:t>
      </w:r>
      <w:r w:rsidR="00CF60CB" w:rsidRPr="00B82C5F">
        <w:t xml:space="preserve">The </w:t>
      </w:r>
      <w:r w:rsidR="00B82C5F">
        <w:t xml:space="preserve">ABDR is </w:t>
      </w:r>
      <w:r w:rsidR="007D22CA">
        <w:t>an</w:t>
      </w:r>
      <w:r w:rsidR="00CF60CB" w:rsidRPr="00B82C5F">
        <w:t xml:space="preserve"> </w:t>
      </w:r>
      <w:r w:rsidR="00B82C5F">
        <w:t xml:space="preserve">information system </w:t>
      </w:r>
      <w:r w:rsidR="00CF60CB" w:rsidRPr="00B82C5F">
        <w:t>use</w:t>
      </w:r>
      <w:r w:rsidR="009344B8">
        <w:t>d</w:t>
      </w:r>
      <w:r w:rsidR="007D22CA">
        <w:t>:</w:t>
      </w:r>
    </w:p>
    <w:p w:rsidR="00B7070C" w:rsidRDefault="00CF60CB" w:rsidP="00DB1CAE">
      <w:pPr>
        <w:pStyle w:val="NormalWeb"/>
        <w:numPr>
          <w:ilvl w:val="1"/>
          <w:numId w:val="2"/>
        </w:numPr>
        <w:rPr>
          <w:rFonts w:ascii="Arial" w:hAnsi="Arial" w:cs="Arial"/>
        </w:rPr>
      </w:pPr>
      <w:r w:rsidRPr="00DB1CAE">
        <w:rPr>
          <w:rFonts w:ascii="Arial" w:hAnsi="Arial" w:cs="Arial"/>
        </w:rPr>
        <w:t>in the clinical environment to aid in the capturing of data critical to Haemophilia Treatment Centre (HTC) staff for the day to day management of people with bleeding disorders (PWBD)</w:t>
      </w:r>
      <w:r w:rsidR="00734378">
        <w:rPr>
          <w:rFonts w:ascii="Arial" w:hAnsi="Arial" w:cs="Arial"/>
        </w:rPr>
        <w:t xml:space="preserve"> and to benchmark and improve the quality of patient care and outcomes</w:t>
      </w:r>
    </w:p>
    <w:p w:rsidR="007D22CA" w:rsidRPr="00DB1CAE" w:rsidRDefault="00B7070C" w:rsidP="00DB1CAE">
      <w:pPr>
        <w:pStyle w:val="NormalWeb"/>
        <w:numPr>
          <w:ilvl w:val="1"/>
          <w:numId w:val="2"/>
        </w:numPr>
        <w:rPr>
          <w:rFonts w:ascii="Arial" w:hAnsi="Arial" w:cs="Arial"/>
        </w:rPr>
      </w:pPr>
      <w:r>
        <w:rPr>
          <w:rFonts w:ascii="Arial" w:hAnsi="Arial" w:cs="Arial"/>
        </w:rPr>
        <w:t>by patients directly in their day to day lives, to assist in their self-management of their bleeding disorder condition under the supervision of an HTC</w:t>
      </w:r>
    </w:p>
    <w:p w:rsidR="007D22CA" w:rsidRPr="00DB1CAE" w:rsidRDefault="007D22CA" w:rsidP="00DB1CAE">
      <w:pPr>
        <w:pStyle w:val="NormalWeb"/>
        <w:numPr>
          <w:ilvl w:val="1"/>
          <w:numId w:val="2"/>
        </w:numPr>
        <w:rPr>
          <w:rFonts w:ascii="Arial" w:hAnsi="Arial" w:cs="Arial"/>
        </w:rPr>
      </w:pPr>
      <w:proofErr w:type="gramStart"/>
      <w:r w:rsidRPr="00DB1CAE">
        <w:rPr>
          <w:rFonts w:ascii="Arial" w:hAnsi="Arial" w:cs="Arial"/>
        </w:rPr>
        <w:t>to</w:t>
      </w:r>
      <w:proofErr w:type="gramEnd"/>
      <w:r w:rsidRPr="00DB1CAE">
        <w:rPr>
          <w:rFonts w:ascii="Arial" w:hAnsi="Arial" w:cs="Arial"/>
        </w:rPr>
        <w:t xml:space="preserve"> </w:t>
      </w:r>
      <w:r w:rsidR="00CF60CB" w:rsidRPr="00DB1CAE">
        <w:rPr>
          <w:rFonts w:ascii="Arial" w:hAnsi="Arial" w:cs="Arial"/>
        </w:rPr>
        <w:t>support</w:t>
      </w:r>
      <w:r w:rsidR="00B82C5F" w:rsidRPr="00DB1CAE">
        <w:rPr>
          <w:rFonts w:ascii="Arial" w:hAnsi="Arial" w:cs="Arial"/>
        </w:rPr>
        <w:t xml:space="preserve"> t</w:t>
      </w:r>
      <w:r w:rsidR="00CF60CB" w:rsidRPr="00DB1CAE">
        <w:rPr>
          <w:rFonts w:ascii="Arial" w:hAnsi="Arial" w:cs="Arial"/>
        </w:rPr>
        <w:t>he National Blood Authority’s (NBA) contract, supply and financial management obligations in the blood sector</w:t>
      </w:r>
      <w:r w:rsidR="00EA18B5" w:rsidRPr="00DB1CAE">
        <w:rPr>
          <w:rFonts w:ascii="Arial" w:hAnsi="Arial" w:cs="Arial"/>
        </w:rPr>
        <w:t xml:space="preserve"> on behalf of all </w:t>
      </w:r>
      <w:r w:rsidR="009C0466" w:rsidRPr="00DB1CAE">
        <w:rPr>
          <w:rFonts w:ascii="Arial" w:hAnsi="Arial" w:cs="Arial"/>
        </w:rPr>
        <w:t xml:space="preserve">Australian </w:t>
      </w:r>
      <w:r w:rsidR="00EA18B5" w:rsidRPr="00DB1CAE">
        <w:rPr>
          <w:rFonts w:ascii="Arial" w:hAnsi="Arial" w:cs="Arial"/>
        </w:rPr>
        <w:t>governments</w:t>
      </w:r>
      <w:r w:rsidR="00CF60CB" w:rsidRPr="00DB1CAE">
        <w:rPr>
          <w:rFonts w:ascii="Arial" w:hAnsi="Arial" w:cs="Arial"/>
        </w:rPr>
        <w:t>.</w:t>
      </w:r>
    </w:p>
    <w:p w:rsidR="007A5034" w:rsidRDefault="007A5034" w:rsidP="00DB1CAE">
      <w:pPr>
        <w:numPr>
          <w:ilvl w:val="0"/>
          <w:numId w:val="2"/>
        </w:numPr>
        <w:rPr>
          <w:rFonts w:cs="Arial"/>
        </w:rPr>
      </w:pPr>
      <w:r>
        <w:rPr>
          <w:rFonts w:cs="Arial"/>
        </w:rPr>
        <w:t xml:space="preserve">In this </w:t>
      </w:r>
      <w:r w:rsidR="00734378">
        <w:rPr>
          <w:rFonts w:cs="Arial"/>
        </w:rPr>
        <w:t>document</w:t>
      </w:r>
      <w:r>
        <w:rPr>
          <w:rFonts w:cs="Arial"/>
        </w:rPr>
        <w:t xml:space="preserve">, unless stated otherwise, a reference to ABDR includes a reference to </w:t>
      </w:r>
      <w:proofErr w:type="spellStart"/>
      <w:r>
        <w:rPr>
          <w:rFonts w:cs="Arial"/>
        </w:rPr>
        <w:t>MyABDR</w:t>
      </w:r>
      <w:proofErr w:type="spellEnd"/>
      <w:r>
        <w:rPr>
          <w:rFonts w:cs="Arial"/>
        </w:rPr>
        <w:t>.</w:t>
      </w:r>
    </w:p>
    <w:p w:rsidR="00CF60CB" w:rsidRPr="00B82C5F" w:rsidRDefault="00CF60CB" w:rsidP="00DB1CAE">
      <w:pPr>
        <w:numPr>
          <w:ilvl w:val="0"/>
          <w:numId w:val="2"/>
        </w:numPr>
        <w:rPr>
          <w:rFonts w:cs="Arial"/>
        </w:rPr>
      </w:pPr>
      <w:r w:rsidRPr="00DB1CAE">
        <w:rPr>
          <w:rFonts w:cs="Arial"/>
        </w:rPr>
        <w:t xml:space="preserve">The </w:t>
      </w:r>
      <w:r w:rsidR="00B82C5F" w:rsidRPr="00DB1CAE">
        <w:rPr>
          <w:rFonts w:cs="Arial"/>
        </w:rPr>
        <w:t>system</w:t>
      </w:r>
      <w:r w:rsidR="00224A0A" w:rsidRPr="00DB1CAE">
        <w:rPr>
          <w:rFonts w:cs="Arial"/>
        </w:rPr>
        <w:t xml:space="preserve"> is web based, with data being input on a patient basis by </w:t>
      </w:r>
      <w:r w:rsidR="00EA18B5" w:rsidRPr="00DB1CAE">
        <w:rPr>
          <w:rFonts w:cs="Arial"/>
        </w:rPr>
        <w:t xml:space="preserve">staff in </w:t>
      </w:r>
      <w:r w:rsidR="00224A0A" w:rsidRPr="00DB1CAE">
        <w:rPr>
          <w:rFonts w:cs="Arial"/>
        </w:rPr>
        <w:t>Haemophilia Treatment Centres</w:t>
      </w:r>
      <w:r w:rsidR="00EA18B5" w:rsidRPr="00DB1CAE">
        <w:rPr>
          <w:rFonts w:cs="Arial"/>
        </w:rPr>
        <w:t xml:space="preserve"> across </w:t>
      </w:r>
      <w:r w:rsidR="009C0466" w:rsidRPr="00DB1CAE">
        <w:rPr>
          <w:rFonts w:cs="Arial"/>
        </w:rPr>
        <w:t>Australia</w:t>
      </w:r>
      <w:r w:rsidR="00224A0A" w:rsidRPr="00DB1CAE">
        <w:rPr>
          <w:rFonts w:cs="Arial"/>
        </w:rPr>
        <w:t xml:space="preserve">. </w:t>
      </w:r>
      <w:proofErr w:type="spellStart"/>
      <w:r w:rsidR="00B7070C">
        <w:rPr>
          <w:rFonts w:cs="Arial"/>
        </w:rPr>
        <w:t>MyABDR</w:t>
      </w:r>
      <w:proofErr w:type="spellEnd"/>
      <w:r w:rsidR="00B7070C">
        <w:rPr>
          <w:rFonts w:cs="Arial"/>
        </w:rPr>
        <w:t xml:space="preserve"> </w:t>
      </w:r>
      <w:r w:rsidR="00734378">
        <w:rPr>
          <w:rFonts w:cs="Arial"/>
        </w:rPr>
        <w:t xml:space="preserve">also </w:t>
      </w:r>
      <w:r w:rsidR="00B7070C">
        <w:rPr>
          <w:rFonts w:cs="Arial"/>
        </w:rPr>
        <w:t xml:space="preserve">allows patients to input data via portable devices or web access.  </w:t>
      </w:r>
      <w:r w:rsidR="00CD2267">
        <w:rPr>
          <w:rFonts w:cs="Arial"/>
        </w:rPr>
        <w:t>The ABDR</w:t>
      </w:r>
      <w:r w:rsidR="00B82C5F">
        <w:rPr>
          <w:rFonts w:cs="Arial"/>
        </w:rPr>
        <w:t xml:space="preserve">: </w:t>
      </w:r>
    </w:p>
    <w:p w:rsidR="008E5377" w:rsidRDefault="00CC3191" w:rsidP="008E5377">
      <w:pPr>
        <w:pStyle w:val="NormalWeb"/>
        <w:numPr>
          <w:ilvl w:val="1"/>
          <w:numId w:val="2"/>
        </w:numPr>
        <w:rPr>
          <w:rFonts w:ascii="Arial" w:hAnsi="Arial" w:cs="Arial"/>
        </w:rPr>
      </w:pPr>
      <w:r>
        <w:rPr>
          <w:rFonts w:ascii="Arial" w:hAnsi="Arial" w:cs="Arial"/>
        </w:rPr>
        <w:t xml:space="preserve">captures </w:t>
      </w:r>
      <w:r w:rsidR="009C0466">
        <w:rPr>
          <w:rFonts w:ascii="Arial" w:hAnsi="Arial" w:cs="Arial"/>
        </w:rPr>
        <w:t xml:space="preserve">the </w:t>
      </w:r>
      <w:r w:rsidR="008E5377" w:rsidRPr="00D25AC1">
        <w:rPr>
          <w:rFonts w:ascii="Arial" w:hAnsi="Arial" w:cs="Arial"/>
        </w:rPr>
        <w:t>demographic profile of </w:t>
      </w:r>
      <w:r w:rsidR="008E5377" w:rsidRPr="00CC3191">
        <w:rPr>
          <w:rStyle w:val="Strong"/>
          <w:rFonts w:ascii="Arial" w:hAnsi="Arial" w:cs="Arial"/>
          <w:b w:val="0"/>
        </w:rPr>
        <w:t>PWBD</w:t>
      </w:r>
      <w:r w:rsidR="008E5377" w:rsidRPr="00D25AC1">
        <w:rPr>
          <w:rFonts w:ascii="Arial" w:hAnsi="Arial" w:cs="Arial"/>
        </w:rPr>
        <w:t xml:space="preserve"> in Australia;</w:t>
      </w:r>
    </w:p>
    <w:p w:rsidR="0086463C" w:rsidRPr="00D25AC1" w:rsidRDefault="0086463C" w:rsidP="008E5377">
      <w:pPr>
        <w:pStyle w:val="NormalWeb"/>
        <w:numPr>
          <w:ilvl w:val="1"/>
          <w:numId w:val="2"/>
        </w:numPr>
        <w:rPr>
          <w:rFonts w:ascii="Arial" w:hAnsi="Arial" w:cs="Arial"/>
        </w:rPr>
      </w:pPr>
      <w:r>
        <w:rPr>
          <w:rFonts w:ascii="Arial" w:hAnsi="Arial" w:cs="Arial"/>
        </w:rPr>
        <w:t>provides treating health care team</w:t>
      </w:r>
      <w:r w:rsidR="00F17F89">
        <w:rPr>
          <w:rFonts w:ascii="Arial" w:hAnsi="Arial" w:cs="Arial"/>
        </w:rPr>
        <w:t>s</w:t>
      </w:r>
      <w:r>
        <w:rPr>
          <w:rFonts w:ascii="Arial" w:hAnsi="Arial" w:cs="Arial"/>
        </w:rPr>
        <w:t xml:space="preserve"> and support staff with a record to monitor and manage individual treatment over time to improve patient quality of life;</w:t>
      </w:r>
    </w:p>
    <w:p w:rsidR="008E5377" w:rsidRPr="00D25AC1" w:rsidRDefault="008E5377" w:rsidP="008E5377">
      <w:pPr>
        <w:pStyle w:val="NormalWeb"/>
        <w:numPr>
          <w:ilvl w:val="1"/>
          <w:numId w:val="2"/>
        </w:numPr>
        <w:rPr>
          <w:rFonts w:ascii="Arial" w:hAnsi="Arial" w:cs="Arial"/>
        </w:rPr>
      </w:pPr>
      <w:r w:rsidRPr="00D25AC1">
        <w:rPr>
          <w:rFonts w:ascii="Arial" w:hAnsi="Arial" w:cs="Arial"/>
        </w:rPr>
        <w:t>record</w:t>
      </w:r>
      <w:r w:rsidR="00CC3191">
        <w:rPr>
          <w:rFonts w:ascii="Arial" w:hAnsi="Arial" w:cs="Arial"/>
        </w:rPr>
        <w:t>s</w:t>
      </w:r>
      <w:r w:rsidRPr="00D25AC1">
        <w:rPr>
          <w:rFonts w:ascii="Arial" w:hAnsi="Arial" w:cs="Arial"/>
        </w:rPr>
        <w:t xml:space="preserve"> observations on the pattern of care such as treatment, bleed frequency, joint health, pathology, radiology and genetic mutation information to inform improvements in care to PWBD</w:t>
      </w:r>
      <w:r w:rsidR="00CD2267">
        <w:rPr>
          <w:rFonts w:ascii="Arial" w:hAnsi="Arial" w:cs="Arial"/>
        </w:rPr>
        <w:t>;</w:t>
      </w:r>
    </w:p>
    <w:p w:rsidR="00CD2267" w:rsidRDefault="008E5377" w:rsidP="00236237">
      <w:pPr>
        <w:pStyle w:val="NormalWeb"/>
        <w:numPr>
          <w:ilvl w:val="1"/>
          <w:numId w:val="2"/>
        </w:numPr>
        <w:tabs>
          <w:tab w:val="left" w:pos="3780"/>
        </w:tabs>
        <w:rPr>
          <w:rFonts w:ascii="Arial" w:hAnsi="Arial" w:cs="Arial"/>
        </w:rPr>
      </w:pPr>
      <w:r w:rsidRPr="00D25AC1">
        <w:rPr>
          <w:rFonts w:ascii="Arial" w:hAnsi="Arial" w:cs="Arial"/>
        </w:rPr>
        <w:t>provide</w:t>
      </w:r>
      <w:r w:rsidR="006E2324">
        <w:rPr>
          <w:rFonts w:ascii="Arial" w:hAnsi="Arial" w:cs="Arial"/>
        </w:rPr>
        <w:t>s</w:t>
      </w:r>
      <w:r w:rsidRPr="00D25AC1">
        <w:rPr>
          <w:rFonts w:ascii="Arial" w:hAnsi="Arial" w:cs="Arial"/>
        </w:rPr>
        <w:t xml:space="preserve"> an understanding </w:t>
      </w:r>
      <w:r w:rsidRPr="00236237">
        <w:rPr>
          <w:rFonts w:ascii="Arial" w:hAnsi="Arial" w:cs="Arial"/>
        </w:rPr>
        <w:t xml:space="preserve">of </w:t>
      </w:r>
      <w:r w:rsidR="00236237" w:rsidRPr="00236237">
        <w:rPr>
          <w:rFonts w:ascii="Arial" w:hAnsi="Arial" w:cs="Arial"/>
        </w:rPr>
        <w:t>clotting factor</w:t>
      </w:r>
      <w:r w:rsidR="00236237" w:rsidRPr="00D25AC1">
        <w:rPr>
          <w:rFonts w:ascii="Arial" w:hAnsi="Arial" w:cs="Arial"/>
        </w:rPr>
        <w:t xml:space="preserve"> </w:t>
      </w:r>
      <w:r w:rsidRPr="00D25AC1">
        <w:rPr>
          <w:rFonts w:ascii="Arial" w:hAnsi="Arial" w:cs="Arial"/>
        </w:rPr>
        <w:t>product use by diagnosis</w:t>
      </w:r>
      <w:r w:rsidR="00CD2267">
        <w:rPr>
          <w:rFonts w:ascii="Arial" w:hAnsi="Arial" w:cs="Arial"/>
        </w:rPr>
        <w:t>;</w:t>
      </w:r>
    </w:p>
    <w:p w:rsidR="00B7070C" w:rsidRDefault="008E5377" w:rsidP="00236237">
      <w:pPr>
        <w:pStyle w:val="NormalWeb"/>
        <w:numPr>
          <w:ilvl w:val="1"/>
          <w:numId w:val="2"/>
        </w:numPr>
        <w:tabs>
          <w:tab w:val="left" w:pos="3780"/>
        </w:tabs>
        <w:rPr>
          <w:rFonts w:ascii="Arial" w:hAnsi="Arial" w:cs="Arial"/>
        </w:rPr>
      </w:pPr>
      <w:r w:rsidRPr="00D25AC1">
        <w:rPr>
          <w:rFonts w:ascii="Arial" w:hAnsi="Arial" w:cs="Arial"/>
        </w:rPr>
        <w:lastRenderedPageBreak/>
        <w:t>manage</w:t>
      </w:r>
      <w:r w:rsidR="00A43906">
        <w:rPr>
          <w:rFonts w:ascii="Arial" w:hAnsi="Arial" w:cs="Arial"/>
        </w:rPr>
        <w:t>s</w:t>
      </w:r>
      <w:r w:rsidRPr="00D25AC1">
        <w:rPr>
          <w:rFonts w:ascii="Arial" w:hAnsi="Arial" w:cs="Arial"/>
        </w:rPr>
        <w:t xml:space="preserve"> </w:t>
      </w:r>
      <w:r w:rsidR="00236237" w:rsidRPr="00236237">
        <w:rPr>
          <w:rFonts w:ascii="Arial" w:hAnsi="Arial" w:cs="Arial"/>
        </w:rPr>
        <w:t>clotting factor</w:t>
      </w:r>
      <w:r w:rsidR="00236237" w:rsidRPr="00D25AC1">
        <w:rPr>
          <w:rFonts w:ascii="Arial" w:hAnsi="Arial" w:cs="Arial"/>
        </w:rPr>
        <w:t xml:space="preserve"> </w:t>
      </w:r>
      <w:r w:rsidRPr="00D25AC1">
        <w:rPr>
          <w:rFonts w:ascii="Arial" w:hAnsi="Arial" w:cs="Arial"/>
        </w:rPr>
        <w:t>product orders</w:t>
      </w:r>
      <w:r w:rsidR="00A43906">
        <w:rPr>
          <w:rFonts w:ascii="Arial" w:hAnsi="Arial" w:cs="Arial"/>
        </w:rPr>
        <w:t>;</w:t>
      </w:r>
      <w:r w:rsidRPr="00D25AC1">
        <w:rPr>
          <w:rFonts w:ascii="Arial" w:hAnsi="Arial" w:cs="Arial"/>
        </w:rPr>
        <w:t xml:space="preserve"> </w:t>
      </w:r>
    </w:p>
    <w:p w:rsidR="00A43906" w:rsidRDefault="00B7070C" w:rsidP="00236237">
      <w:pPr>
        <w:pStyle w:val="NormalWeb"/>
        <w:numPr>
          <w:ilvl w:val="1"/>
          <w:numId w:val="2"/>
        </w:numPr>
        <w:tabs>
          <w:tab w:val="left" w:pos="3780"/>
        </w:tabs>
        <w:rPr>
          <w:rFonts w:ascii="Arial" w:hAnsi="Arial" w:cs="Arial"/>
        </w:rPr>
      </w:pPr>
      <w:r>
        <w:rPr>
          <w:rFonts w:ascii="Arial" w:hAnsi="Arial" w:cs="Arial"/>
        </w:rPr>
        <w:t xml:space="preserve">records home patient stock and product usage or spoilage; </w:t>
      </w:r>
      <w:r w:rsidR="008E5377" w:rsidRPr="00D25AC1">
        <w:rPr>
          <w:rFonts w:ascii="Arial" w:hAnsi="Arial" w:cs="Arial"/>
        </w:rPr>
        <w:t xml:space="preserve">and </w:t>
      </w:r>
    </w:p>
    <w:p w:rsidR="008E5377" w:rsidRPr="00D25AC1" w:rsidRDefault="008E5377" w:rsidP="00236237">
      <w:pPr>
        <w:pStyle w:val="NormalWeb"/>
        <w:numPr>
          <w:ilvl w:val="1"/>
          <w:numId w:val="2"/>
        </w:numPr>
        <w:tabs>
          <w:tab w:val="left" w:pos="3780"/>
        </w:tabs>
        <w:rPr>
          <w:rFonts w:ascii="Arial" w:hAnsi="Arial" w:cs="Arial"/>
        </w:rPr>
      </w:pPr>
      <w:proofErr w:type="gramStart"/>
      <w:r w:rsidRPr="00D25AC1">
        <w:rPr>
          <w:rFonts w:ascii="Arial" w:hAnsi="Arial" w:cs="Arial"/>
        </w:rPr>
        <w:t>enable</w:t>
      </w:r>
      <w:r w:rsidR="00FA0EF5">
        <w:rPr>
          <w:rFonts w:ascii="Arial" w:hAnsi="Arial" w:cs="Arial"/>
        </w:rPr>
        <w:t>s</w:t>
      </w:r>
      <w:proofErr w:type="gramEnd"/>
      <w:r w:rsidRPr="00D25AC1">
        <w:rPr>
          <w:rFonts w:ascii="Arial" w:hAnsi="Arial" w:cs="Arial"/>
        </w:rPr>
        <w:t xml:space="preserve"> government</w:t>
      </w:r>
      <w:r w:rsidR="00FA0EF5">
        <w:rPr>
          <w:rFonts w:ascii="Arial" w:hAnsi="Arial" w:cs="Arial"/>
        </w:rPr>
        <w:t>s</w:t>
      </w:r>
      <w:r w:rsidRPr="00D25AC1">
        <w:rPr>
          <w:rFonts w:ascii="Arial" w:hAnsi="Arial" w:cs="Arial"/>
        </w:rPr>
        <w:t xml:space="preserve"> to undertake supply plann</w:t>
      </w:r>
      <w:r w:rsidR="00CC3191">
        <w:rPr>
          <w:rFonts w:ascii="Arial" w:hAnsi="Arial" w:cs="Arial"/>
        </w:rPr>
        <w:t>ing and demand forecasting</w:t>
      </w:r>
      <w:r w:rsidR="00CD2267">
        <w:rPr>
          <w:rFonts w:ascii="Arial" w:hAnsi="Arial" w:cs="Arial"/>
        </w:rPr>
        <w:t xml:space="preserve">, and </w:t>
      </w:r>
      <w:r w:rsidR="004351AC">
        <w:rPr>
          <w:rFonts w:ascii="Arial" w:hAnsi="Arial" w:cs="Arial"/>
        </w:rPr>
        <w:t>administer funding arrangements</w:t>
      </w:r>
      <w:r w:rsidR="00CC3191">
        <w:rPr>
          <w:rFonts w:ascii="Arial" w:hAnsi="Arial" w:cs="Arial"/>
        </w:rPr>
        <w:t xml:space="preserve"> for</w:t>
      </w:r>
      <w:r w:rsidRPr="00D25AC1">
        <w:rPr>
          <w:rFonts w:ascii="Arial" w:hAnsi="Arial" w:cs="Arial"/>
        </w:rPr>
        <w:t xml:space="preserve"> </w:t>
      </w:r>
      <w:r w:rsidR="00A15391">
        <w:rPr>
          <w:rFonts w:ascii="Arial" w:hAnsi="Arial" w:cs="Arial"/>
        </w:rPr>
        <w:t xml:space="preserve">clotting factor </w:t>
      </w:r>
      <w:r w:rsidRPr="00D25AC1">
        <w:rPr>
          <w:rFonts w:ascii="Arial" w:hAnsi="Arial" w:cs="Arial"/>
        </w:rPr>
        <w:t>product</w:t>
      </w:r>
      <w:r w:rsidR="00CD2267">
        <w:rPr>
          <w:rFonts w:ascii="Arial" w:hAnsi="Arial" w:cs="Arial"/>
        </w:rPr>
        <w:t>.</w:t>
      </w:r>
    </w:p>
    <w:p w:rsidR="00803AE1" w:rsidRPr="00B82C5F" w:rsidRDefault="00674EB7" w:rsidP="00C4728C">
      <w:pPr>
        <w:numPr>
          <w:ilvl w:val="0"/>
          <w:numId w:val="2"/>
        </w:numPr>
      </w:pPr>
      <w:r>
        <w:t xml:space="preserve">The ABDR supports a range of users across the blood sector, including </w:t>
      </w:r>
      <w:r w:rsidR="006E2324">
        <w:t>g</w:t>
      </w:r>
      <w:r>
        <w:t xml:space="preserve">overnments, </w:t>
      </w:r>
      <w:r w:rsidR="008E5377">
        <w:t xml:space="preserve">health care providers </w:t>
      </w:r>
      <w:r>
        <w:t xml:space="preserve">and patients. Given this wide range of users and the importance of safeguarding patients’ </w:t>
      </w:r>
      <w:r w:rsidR="004351AC">
        <w:t>privacy</w:t>
      </w:r>
      <w:r w:rsidR="007D22CA">
        <w:t xml:space="preserve">, governance arrangements </w:t>
      </w:r>
      <w:r w:rsidR="00DB1CAE">
        <w:t xml:space="preserve">that appropriately respect concerns of all stakeholders are </w:t>
      </w:r>
      <w:r w:rsidR="00494333">
        <w:t>prescribed</w:t>
      </w:r>
      <w:r w:rsidR="007D22CA">
        <w:t xml:space="preserve"> by this document.</w:t>
      </w:r>
      <w:r w:rsidR="00494333">
        <w:t xml:space="preserve"> </w:t>
      </w:r>
    </w:p>
    <w:p w:rsidR="00D063B8" w:rsidRPr="003D1379" w:rsidRDefault="00FC4767" w:rsidP="003D1379">
      <w:pPr>
        <w:pStyle w:val="Heading1"/>
        <w:keepNext w:val="0"/>
      </w:pPr>
      <w:bookmarkStart w:id="8" w:name="_Toc405296105"/>
      <w:bookmarkStart w:id="9" w:name="_Toc255940732"/>
      <w:r>
        <w:t>GOVERNANCE CONTEXT</w:t>
      </w:r>
      <w:bookmarkEnd w:id="8"/>
      <w:r>
        <w:t xml:space="preserve"> </w:t>
      </w:r>
      <w:bookmarkEnd w:id="9"/>
    </w:p>
    <w:p w:rsidR="008109B5" w:rsidRDefault="00D95FC3" w:rsidP="00C4728C">
      <w:pPr>
        <w:numPr>
          <w:ilvl w:val="0"/>
          <w:numId w:val="2"/>
        </w:numPr>
        <w:rPr>
          <w:rFonts w:cs="Arial"/>
        </w:rPr>
      </w:pPr>
      <w:r>
        <w:rPr>
          <w:rFonts w:cs="Arial"/>
        </w:rPr>
        <w:t xml:space="preserve">The governance </w:t>
      </w:r>
      <w:r w:rsidR="00313B6A">
        <w:rPr>
          <w:rFonts w:cs="Arial"/>
        </w:rPr>
        <w:t xml:space="preserve">context of the </w:t>
      </w:r>
      <w:r>
        <w:rPr>
          <w:rFonts w:cs="Arial"/>
        </w:rPr>
        <w:t>ABDR is shown at Figure 1</w:t>
      </w:r>
      <w:r w:rsidR="00313B6A">
        <w:rPr>
          <w:rFonts w:cs="Arial"/>
        </w:rPr>
        <w:t xml:space="preserve"> and is consistent with the broader national governance arrangements established to manage blood issues within Australia</w:t>
      </w:r>
      <w:r w:rsidR="008109B5">
        <w:rPr>
          <w:rFonts w:cs="Arial"/>
        </w:rPr>
        <w:t xml:space="preserve"> </w:t>
      </w:r>
      <w:r w:rsidR="00313B6A">
        <w:t>.</w:t>
      </w:r>
      <w:r w:rsidR="00313B6A">
        <w:rPr>
          <w:rFonts w:cs="Arial"/>
        </w:rPr>
        <w:t xml:space="preserve">The </w:t>
      </w:r>
      <w:r>
        <w:rPr>
          <w:rFonts w:cs="Arial"/>
        </w:rPr>
        <w:t>ABDR Steering Committee</w:t>
      </w:r>
      <w:r w:rsidR="002E602B">
        <w:rPr>
          <w:rFonts w:cs="Arial"/>
        </w:rPr>
        <w:t>,</w:t>
      </w:r>
      <w:r>
        <w:rPr>
          <w:rFonts w:cs="Arial"/>
        </w:rPr>
        <w:t xml:space="preserve"> consist</w:t>
      </w:r>
      <w:r w:rsidR="00313B6A">
        <w:rPr>
          <w:rFonts w:cs="Arial"/>
        </w:rPr>
        <w:t>s</w:t>
      </w:r>
      <w:r>
        <w:rPr>
          <w:rFonts w:cs="Arial"/>
        </w:rPr>
        <w:t xml:space="preserve"> of representatives from key sector stakeholders.</w:t>
      </w:r>
      <w:r w:rsidR="00DB1CAE">
        <w:rPr>
          <w:rFonts w:cs="Arial"/>
        </w:rPr>
        <w:t xml:space="preserve"> </w:t>
      </w:r>
      <w:r>
        <w:rPr>
          <w:rFonts w:cs="Arial"/>
        </w:rPr>
        <w:t xml:space="preserve"> </w:t>
      </w:r>
      <w:r w:rsidR="002E602B">
        <w:rPr>
          <w:rFonts w:cs="Arial"/>
        </w:rPr>
        <w:t xml:space="preserve">The </w:t>
      </w:r>
      <w:r w:rsidR="00B03E2D">
        <w:rPr>
          <w:rFonts w:cs="Arial"/>
        </w:rPr>
        <w:t xml:space="preserve">Steering </w:t>
      </w:r>
      <w:r w:rsidR="002E602B">
        <w:rPr>
          <w:rFonts w:cs="Arial"/>
        </w:rPr>
        <w:t xml:space="preserve">Committee, while formally responsible to </w:t>
      </w:r>
      <w:r w:rsidR="003345CE">
        <w:rPr>
          <w:rFonts w:cs="Arial"/>
        </w:rPr>
        <w:t xml:space="preserve">NBA General Manager, </w:t>
      </w:r>
      <w:r w:rsidR="002E602B">
        <w:rPr>
          <w:rFonts w:cs="Arial"/>
        </w:rPr>
        <w:t xml:space="preserve">serves as a conduit for all stakeholders </w:t>
      </w:r>
      <w:r w:rsidR="00510680">
        <w:rPr>
          <w:rFonts w:cs="Arial"/>
        </w:rPr>
        <w:t xml:space="preserve">with an interest </w:t>
      </w:r>
      <w:r w:rsidR="002E602B">
        <w:rPr>
          <w:rFonts w:cs="Arial"/>
        </w:rPr>
        <w:t>in the management and operation of the ABDR</w:t>
      </w:r>
      <w:r w:rsidR="00313B6A">
        <w:rPr>
          <w:rFonts w:cs="Arial"/>
        </w:rPr>
        <w:t>.  The detailed Charter for the Steering Committee is at</w:t>
      </w:r>
      <w:r w:rsidR="00071E56">
        <w:rPr>
          <w:rFonts w:cs="Arial"/>
        </w:rPr>
        <w:t xml:space="preserve"> Annex A</w:t>
      </w:r>
      <w:r w:rsidR="005C43C9">
        <w:rPr>
          <w:rFonts w:cs="Arial"/>
        </w:rPr>
        <w:t>.</w:t>
      </w:r>
      <w:r w:rsidR="00313B6A">
        <w:rPr>
          <w:rFonts w:cs="Arial"/>
        </w:rPr>
        <w:t xml:space="preserve">  </w:t>
      </w:r>
    </w:p>
    <w:p w:rsidR="00C05C7E" w:rsidRDefault="0050264E" w:rsidP="00C05C7E">
      <w:pPr>
        <w:jc w:val="center"/>
        <w:rPr>
          <w:rFonts w:cs="Arial"/>
        </w:rPr>
      </w:pPr>
      <w:r>
        <w:object w:dxaOrig="7729" w:dyaOrig="7311" w14:anchorId="0B90E564">
          <v:shape id="_x0000_i1026" type="#_x0000_t75" style="width:288.95pt;height:273.05pt" o:ole="" o:bordertopcolor="this" o:borderleftcolor="this" o:borderbottomcolor="this" o:borderrightcolor="this">
            <v:imagedata r:id="rId18" o:title=""/>
            <w10:bordertop type="single" width="12"/>
            <w10:borderleft type="single" width="12"/>
            <w10:borderbottom type="single" width="12"/>
            <w10:borderright type="single" width="12"/>
          </v:shape>
          <o:OLEObject Type="Embed" ProgID="Visio.Drawing.11" ShapeID="_x0000_i1026" DrawAspect="Content" ObjectID="_1486273618" r:id="rId19"/>
        </w:object>
      </w:r>
    </w:p>
    <w:p w:rsidR="00C05C7E" w:rsidRPr="00C05C7E" w:rsidRDefault="00C05C7E" w:rsidP="00C05C7E">
      <w:pPr>
        <w:jc w:val="center"/>
        <w:rPr>
          <w:rFonts w:cs="Arial"/>
          <w:b/>
        </w:rPr>
      </w:pPr>
      <w:r>
        <w:rPr>
          <w:rFonts w:cs="Arial"/>
          <w:b/>
        </w:rPr>
        <w:t xml:space="preserve">Figure 1 – ABDR Governance </w:t>
      </w:r>
    </w:p>
    <w:p w:rsidR="00A92232" w:rsidRDefault="00A92232" w:rsidP="00A92232">
      <w:pPr>
        <w:pStyle w:val="Heading1"/>
        <w:keepNext w:val="0"/>
      </w:pPr>
      <w:bookmarkStart w:id="10" w:name="_Toc405296106"/>
      <w:bookmarkStart w:id="11" w:name="_Toc255940733"/>
      <w:r>
        <w:t>Key Governance Documents</w:t>
      </w:r>
      <w:bookmarkEnd w:id="10"/>
    </w:p>
    <w:p w:rsidR="00A92232" w:rsidRDefault="00A92232" w:rsidP="00A92232">
      <w:pPr>
        <w:numPr>
          <w:ilvl w:val="0"/>
          <w:numId w:val="2"/>
        </w:numPr>
        <w:rPr>
          <w:rFonts w:cs="Arial"/>
        </w:rPr>
      </w:pPr>
      <w:r w:rsidRPr="009216C2">
        <w:rPr>
          <w:rFonts w:cs="Arial"/>
        </w:rPr>
        <w:t>The</w:t>
      </w:r>
      <w:r>
        <w:rPr>
          <w:rFonts w:cs="Arial"/>
        </w:rPr>
        <w:t xml:space="preserve"> appropriate, effective and accountable governance and management of ABDR is supported by key governance documents</w:t>
      </w:r>
      <w:r w:rsidR="00D56E85">
        <w:rPr>
          <w:rFonts w:cs="Arial"/>
        </w:rPr>
        <w:t xml:space="preserve"> as detailed below</w:t>
      </w:r>
      <w:r w:rsidR="00D26715">
        <w:rPr>
          <w:rFonts w:cs="Arial"/>
        </w:rPr>
        <w:t>.  These documents a</w:t>
      </w:r>
      <w:r>
        <w:rPr>
          <w:rFonts w:cs="Arial"/>
        </w:rPr>
        <w:t xml:space="preserve">re approved by the NBA General Manager as the </w:t>
      </w:r>
      <w:proofErr w:type="gramStart"/>
      <w:r>
        <w:rPr>
          <w:rFonts w:cs="Arial"/>
        </w:rPr>
        <w:t>accountable</w:t>
      </w:r>
      <w:proofErr w:type="gramEnd"/>
      <w:r>
        <w:rPr>
          <w:rFonts w:cs="Arial"/>
        </w:rPr>
        <w:t xml:space="preserve"> officer for ABDR and issued by the NBA, </w:t>
      </w:r>
      <w:r w:rsidR="00D26715">
        <w:rPr>
          <w:rFonts w:cs="Arial"/>
        </w:rPr>
        <w:t>following</w:t>
      </w:r>
      <w:r>
        <w:rPr>
          <w:rFonts w:cs="Arial"/>
        </w:rPr>
        <w:t xml:space="preserve"> endorsement</w:t>
      </w:r>
      <w:r w:rsidR="009B42E6">
        <w:rPr>
          <w:rFonts w:cs="Arial"/>
        </w:rPr>
        <w:t xml:space="preserve"> as appropriate</w:t>
      </w:r>
      <w:r>
        <w:rPr>
          <w:rFonts w:cs="Arial"/>
        </w:rPr>
        <w:t xml:space="preserve"> by the ABDR Steering Committee.</w:t>
      </w:r>
    </w:p>
    <w:p w:rsidR="00A92232" w:rsidRDefault="001C74A3" w:rsidP="001C5048">
      <w:pPr>
        <w:keepNext/>
        <w:tabs>
          <w:tab w:val="left" w:pos="1935"/>
        </w:tabs>
        <w:rPr>
          <w:rFonts w:cs="Arial"/>
          <w:b/>
          <w:bCs/>
          <w:iCs/>
        </w:rPr>
      </w:pPr>
      <w:r>
        <w:rPr>
          <w:rFonts w:cs="Arial"/>
          <w:b/>
          <w:bCs/>
          <w:iCs/>
        </w:rPr>
        <w:lastRenderedPageBreak/>
        <w:t xml:space="preserve">ABDR </w:t>
      </w:r>
      <w:r w:rsidR="00A92232" w:rsidRPr="001C5048">
        <w:rPr>
          <w:rFonts w:cs="Arial"/>
          <w:b/>
          <w:bCs/>
          <w:iCs/>
        </w:rPr>
        <w:t xml:space="preserve">Governance </w:t>
      </w:r>
      <w:r w:rsidR="003A4905">
        <w:rPr>
          <w:rFonts w:cs="Arial"/>
          <w:b/>
          <w:bCs/>
          <w:iCs/>
        </w:rPr>
        <w:t>Arrangements</w:t>
      </w:r>
    </w:p>
    <w:p w:rsidR="003A4905" w:rsidRPr="003A4905" w:rsidRDefault="00A1502D" w:rsidP="001C5048">
      <w:pPr>
        <w:numPr>
          <w:ilvl w:val="0"/>
          <w:numId w:val="2"/>
        </w:numPr>
        <w:rPr>
          <w:rFonts w:cs="Arial"/>
        </w:rPr>
      </w:pPr>
      <w:r>
        <w:rPr>
          <w:rFonts w:cs="Arial"/>
        </w:rPr>
        <w:t>The Governance Arrangements set out in this</w:t>
      </w:r>
      <w:r w:rsidR="003A4905">
        <w:rPr>
          <w:rFonts w:cs="Arial"/>
        </w:rPr>
        <w:t xml:space="preserve"> document provide the overarching description </w:t>
      </w:r>
      <w:r w:rsidR="001C74A3">
        <w:rPr>
          <w:rFonts w:cs="Arial"/>
        </w:rPr>
        <w:t>of the</w:t>
      </w:r>
      <w:r w:rsidR="003A4905">
        <w:rPr>
          <w:rFonts w:cs="Arial"/>
        </w:rPr>
        <w:t xml:space="preserve"> policy </w:t>
      </w:r>
      <w:r w:rsidR="001C74A3">
        <w:rPr>
          <w:rFonts w:cs="Arial"/>
        </w:rPr>
        <w:t>and operating basis for ABDR, including roles and responsibilities of key entities.</w:t>
      </w:r>
      <w:r w:rsidR="003A4905">
        <w:rPr>
          <w:rFonts w:cs="Arial"/>
        </w:rPr>
        <w:t xml:space="preserve"> </w:t>
      </w:r>
    </w:p>
    <w:p w:rsidR="001C74A3" w:rsidRDefault="001C74A3" w:rsidP="001C5048">
      <w:pPr>
        <w:tabs>
          <w:tab w:val="left" w:pos="1935"/>
        </w:tabs>
        <w:rPr>
          <w:rFonts w:cs="Arial"/>
          <w:b/>
          <w:bCs/>
          <w:iCs/>
        </w:rPr>
      </w:pPr>
      <w:r w:rsidRPr="00C85D03">
        <w:rPr>
          <w:rFonts w:cs="Arial"/>
          <w:b/>
          <w:bCs/>
          <w:iCs/>
        </w:rPr>
        <w:t>Terms o</w:t>
      </w:r>
      <w:r>
        <w:rPr>
          <w:rFonts w:cs="Arial"/>
          <w:b/>
          <w:bCs/>
          <w:iCs/>
        </w:rPr>
        <w:t>f Reference and work descriptions</w:t>
      </w:r>
    </w:p>
    <w:p w:rsidR="009B42E6" w:rsidRDefault="001C74A3" w:rsidP="001C5048">
      <w:pPr>
        <w:numPr>
          <w:ilvl w:val="0"/>
          <w:numId w:val="2"/>
        </w:numPr>
        <w:rPr>
          <w:rFonts w:cs="Arial"/>
        </w:rPr>
      </w:pPr>
      <w:r>
        <w:rPr>
          <w:rFonts w:cs="Arial"/>
        </w:rPr>
        <w:t xml:space="preserve">The </w:t>
      </w:r>
      <w:r w:rsidRPr="001C5048">
        <w:rPr>
          <w:rFonts w:cs="Arial"/>
        </w:rPr>
        <w:t>ABDR S</w:t>
      </w:r>
      <w:r>
        <w:rPr>
          <w:rFonts w:cs="Arial"/>
        </w:rPr>
        <w:t xml:space="preserve">teering </w:t>
      </w:r>
      <w:r w:rsidRPr="001C5048">
        <w:rPr>
          <w:rFonts w:cs="Arial"/>
        </w:rPr>
        <w:t>C</w:t>
      </w:r>
      <w:r>
        <w:rPr>
          <w:rFonts w:cs="Arial"/>
        </w:rPr>
        <w:t xml:space="preserve">ommittee </w:t>
      </w:r>
      <w:r w:rsidR="00523388">
        <w:rPr>
          <w:rFonts w:cs="Arial"/>
        </w:rPr>
        <w:t>Charter</w:t>
      </w:r>
      <w:r>
        <w:rPr>
          <w:rFonts w:cs="Arial"/>
        </w:rPr>
        <w:t xml:space="preserve"> at Attachment A </w:t>
      </w:r>
      <w:proofErr w:type="gramStart"/>
      <w:r>
        <w:rPr>
          <w:rFonts w:cs="Arial"/>
        </w:rPr>
        <w:t>establish</w:t>
      </w:r>
      <w:proofErr w:type="gramEnd"/>
      <w:r>
        <w:rPr>
          <w:rFonts w:cs="Arial"/>
        </w:rPr>
        <w:t xml:space="preserve"> the Steering </w:t>
      </w:r>
      <w:r w:rsidR="00D26715">
        <w:rPr>
          <w:rFonts w:cs="Arial"/>
        </w:rPr>
        <w:t xml:space="preserve">Committee as the primary governance committee to support the NBA’s development, implementation and management of ABDR and </w:t>
      </w:r>
      <w:proofErr w:type="spellStart"/>
      <w:r w:rsidR="00D26715">
        <w:rPr>
          <w:rFonts w:cs="Arial"/>
        </w:rPr>
        <w:t>MyABDR</w:t>
      </w:r>
      <w:proofErr w:type="spellEnd"/>
      <w:r w:rsidR="00D26715">
        <w:rPr>
          <w:rFonts w:cs="Arial"/>
        </w:rPr>
        <w:t>.</w:t>
      </w:r>
      <w:r w:rsidR="009B42E6">
        <w:rPr>
          <w:rFonts w:cs="Arial"/>
        </w:rPr>
        <w:t xml:space="preserve">  The </w:t>
      </w:r>
      <w:r w:rsidR="00D26715" w:rsidRPr="001C5048">
        <w:rPr>
          <w:rFonts w:cs="Arial"/>
        </w:rPr>
        <w:t>Terms of Reference for the</w:t>
      </w:r>
      <w:r w:rsidR="009B42E6" w:rsidRPr="001C5048">
        <w:rPr>
          <w:rFonts w:cs="Arial"/>
        </w:rPr>
        <w:t xml:space="preserve"> ABDR </w:t>
      </w:r>
      <w:r w:rsidR="009B42E6">
        <w:rPr>
          <w:rFonts w:cs="Arial"/>
        </w:rPr>
        <w:t>User Reference Group also establish the role for that group as a source of user input and feedback to the NBA and the ABDR Steering Committee.</w:t>
      </w:r>
    </w:p>
    <w:p w:rsidR="001C74A3" w:rsidRPr="001C5048" w:rsidRDefault="009B42E6" w:rsidP="001C5048">
      <w:pPr>
        <w:numPr>
          <w:ilvl w:val="0"/>
          <w:numId w:val="2"/>
        </w:numPr>
        <w:rPr>
          <w:rFonts w:cs="Arial"/>
        </w:rPr>
      </w:pPr>
      <w:r>
        <w:rPr>
          <w:rFonts w:cs="Arial"/>
        </w:rPr>
        <w:t xml:space="preserve">The NBA funding and service agreement with AHCDO defines the specific roles for AHCDO in supporting the data management and general governance of </w:t>
      </w:r>
      <w:proofErr w:type="gramStart"/>
      <w:r>
        <w:rPr>
          <w:rFonts w:cs="Arial"/>
        </w:rPr>
        <w:t>ABDR,</w:t>
      </w:r>
      <w:proofErr w:type="gramEnd"/>
      <w:r>
        <w:rPr>
          <w:rFonts w:cs="Arial"/>
        </w:rPr>
        <w:t xml:space="preserve"> and as a user of ABDR for certain purposes.  The Terms of Reference for the ABDR Data Manager’s Group are specified under the AHCDO agreement, and </w:t>
      </w:r>
      <w:r w:rsidR="008E5CA4">
        <w:rPr>
          <w:rFonts w:cs="Arial"/>
        </w:rPr>
        <w:t xml:space="preserve">define the important role of this group in supporting the management of data entry and implementation of the Data Standards to ensure the integrity of ABDR data. </w:t>
      </w:r>
    </w:p>
    <w:p w:rsidR="009B42E6" w:rsidRDefault="00041502" w:rsidP="001C5048">
      <w:pPr>
        <w:tabs>
          <w:tab w:val="left" w:pos="1935"/>
        </w:tabs>
        <w:rPr>
          <w:rFonts w:cs="Arial"/>
          <w:b/>
          <w:bCs/>
          <w:iCs/>
        </w:rPr>
      </w:pPr>
      <w:r>
        <w:rPr>
          <w:rFonts w:cs="Arial"/>
          <w:b/>
          <w:bCs/>
          <w:iCs/>
        </w:rPr>
        <w:t>P</w:t>
      </w:r>
      <w:r w:rsidR="009B42E6">
        <w:rPr>
          <w:rFonts w:cs="Arial"/>
          <w:b/>
          <w:bCs/>
          <w:iCs/>
        </w:rPr>
        <w:t xml:space="preserve">ermissions </w:t>
      </w:r>
      <w:r>
        <w:rPr>
          <w:rFonts w:cs="Arial"/>
          <w:b/>
          <w:bCs/>
          <w:iCs/>
        </w:rPr>
        <w:t>M</w:t>
      </w:r>
      <w:r w:rsidR="009B42E6">
        <w:rPr>
          <w:rFonts w:cs="Arial"/>
          <w:b/>
          <w:bCs/>
          <w:iCs/>
        </w:rPr>
        <w:t>atrix and security requirements</w:t>
      </w:r>
    </w:p>
    <w:p w:rsidR="009B42E6" w:rsidRDefault="00041502" w:rsidP="001C5048">
      <w:pPr>
        <w:numPr>
          <w:ilvl w:val="0"/>
          <w:numId w:val="2"/>
        </w:numPr>
      </w:pPr>
      <w:r>
        <w:t>The Permissions Matrix defines the level of acces</w:t>
      </w:r>
      <w:r w:rsidR="00BD168D">
        <w:t xml:space="preserve">s to the ABDR and </w:t>
      </w:r>
      <w:proofErr w:type="spellStart"/>
      <w:r w:rsidR="00BD168D">
        <w:t>MyABDR</w:t>
      </w:r>
      <w:proofErr w:type="spellEnd"/>
      <w:r w:rsidR="00BD168D">
        <w:t xml:space="preserve"> system and data</w:t>
      </w:r>
      <w:r>
        <w:t>, and to standard data reports, for all categories of ABDR users and certain other stakeholders.</w:t>
      </w:r>
    </w:p>
    <w:p w:rsidR="00BD168D" w:rsidRPr="001C5048" w:rsidRDefault="00BD168D" w:rsidP="001C5048">
      <w:pPr>
        <w:numPr>
          <w:ilvl w:val="0"/>
          <w:numId w:val="2"/>
        </w:numPr>
      </w:pPr>
      <w:r>
        <w:t xml:space="preserve">The Permissions Matrix is implemented through technical access controls within the ABDR and </w:t>
      </w:r>
      <w:proofErr w:type="spellStart"/>
      <w:r>
        <w:t>MyABDR</w:t>
      </w:r>
      <w:proofErr w:type="spellEnd"/>
      <w:r>
        <w:t xml:space="preserve"> systems</w:t>
      </w:r>
      <w:r w:rsidR="003F528E">
        <w:t>, including system access logs</w:t>
      </w:r>
      <w:r>
        <w:t>.  It is also implemented through</w:t>
      </w:r>
      <w:r w:rsidR="003F528E">
        <w:t xml:space="preserve"> security requirements specified for ABDR support personnel, including requirements for appropriate security clearances in accordance with Australian Government information security policies.</w:t>
      </w:r>
    </w:p>
    <w:p w:rsidR="009B42E6" w:rsidRPr="00335A72" w:rsidRDefault="009B42E6" w:rsidP="009B42E6">
      <w:pPr>
        <w:tabs>
          <w:tab w:val="left" w:pos="1935"/>
        </w:tabs>
        <w:rPr>
          <w:rFonts w:cs="Arial"/>
          <w:b/>
          <w:bCs/>
          <w:iCs/>
        </w:rPr>
      </w:pPr>
      <w:r>
        <w:rPr>
          <w:rFonts w:cs="Arial"/>
          <w:b/>
          <w:bCs/>
          <w:iCs/>
        </w:rPr>
        <w:t>U</w:t>
      </w:r>
      <w:r w:rsidRPr="00335A72">
        <w:rPr>
          <w:rFonts w:cs="Arial"/>
          <w:b/>
          <w:bCs/>
          <w:iCs/>
        </w:rPr>
        <w:t>ser conditions</w:t>
      </w:r>
      <w:r w:rsidR="00076B4F">
        <w:rPr>
          <w:rFonts w:cs="Arial"/>
          <w:b/>
          <w:bCs/>
          <w:iCs/>
        </w:rPr>
        <w:t xml:space="preserve">, </w:t>
      </w:r>
      <w:r>
        <w:rPr>
          <w:rFonts w:cs="Arial"/>
          <w:b/>
          <w:bCs/>
          <w:iCs/>
        </w:rPr>
        <w:t>instructions</w:t>
      </w:r>
      <w:r w:rsidR="00076B4F">
        <w:rPr>
          <w:rFonts w:cs="Arial"/>
          <w:b/>
          <w:bCs/>
          <w:iCs/>
        </w:rPr>
        <w:t>, guides and support materials</w:t>
      </w:r>
    </w:p>
    <w:p w:rsidR="009B42E6" w:rsidRDefault="009418EB" w:rsidP="009B42E6">
      <w:pPr>
        <w:numPr>
          <w:ilvl w:val="0"/>
          <w:numId w:val="2"/>
        </w:numPr>
      </w:pPr>
      <w:r>
        <w:t>A</w:t>
      </w:r>
      <w:r w:rsidR="00041502">
        <w:t>ppropriate user conditions</w:t>
      </w:r>
      <w:r w:rsidR="00EB4471">
        <w:t xml:space="preserve"> </w:t>
      </w:r>
      <w:r>
        <w:t>and instructions for all ABDR users specify the responsibilities for the correct use of the ABDR system to meet all relevant governance and compliance requirements</w:t>
      </w:r>
      <w:r w:rsidRPr="009418EB">
        <w:t xml:space="preserve"> </w:t>
      </w:r>
      <w:r>
        <w:t>of each category of user.</w:t>
      </w:r>
    </w:p>
    <w:p w:rsidR="00076B4F" w:rsidRDefault="00076B4F" w:rsidP="009B42E6">
      <w:pPr>
        <w:numPr>
          <w:ilvl w:val="0"/>
          <w:numId w:val="2"/>
        </w:numPr>
      </w:pPr>
      <w:r>
        <w:t>User support materials provide additional guidance to assist users in using ABDR and in managing the operation and use of the system at HTCs or by individual patients.</w:t>
      </w:r>
    </w:p>
    <w:p w:rsidR="00A92232" w:rsidRPr="001C5048" w:rsidRDefault="00A92232" w:rsidP="001C5048">
      <w:pPr>
        <w:tabs>
          <w:tab w:val="left" w:pos="1935"/>
        </w:tabs>
        <w:rPr>
          <w:rFonts w:cs="Arial"/>
          <w:b/>
          <w:bCs/>
          <w:iCs/>
        </w:rPr>
      </w:pPr>
      <w:r w:rsidRPr="001C5048">
        <w:rPr>
          <w:rFonts w:cs="Arial"/>
          <w:b/>
          <w:bCs/>
          <w:iCs/>
        </w:rPr>
        <w:t>Data Standards</w:t>
      </w:r>
    </w:p>
    <w:p w:rsidR="00041502" w:rsidRDefault="008E5CA4" w:rsidP="001C5048">
      <w:pPr>
        <w:numPr>
          <w:ilvl w:val="0"/>
          <w:numId w:val="2"/>
        </w:numPr>
      </w:pPr>
      <w:r>
        <w:t>The</w:t>
      </w:r>
      <w:r w:rsidR="00691F84">
        <w:t xml:space="preserve"> ABDR</w:t>
      </w:r>
      <w:r>
        <w:t xml:space="preserve"> Data Standards define the specifications, requirements and processes to ensure the integrity of ABDR data.</w:t>
      </w:r>
      <w:r w:rsidR="00041502">
        <w:t xml:space="preserve">  Data integrity means that the data entered into ABDR is accurate, timely and complete according to the defined Data Standards, and that there is appropriate assurance of this.</w:t>
      </w:r>
    </w:p>
    <w:p w:rsidR="00A92232" w:rsidRDefault="008E5CA4" w:rsidP="001C5048">
      <w:pPr>
        <w:numPr>
          <w:ilvl w:val="0"/>
          <w:numId w:val="2"/>
        </w:numPr>
      </w:pPr>
      <w:r>
        <w:t xml:space="preserve">The </w:t>
      </w:r>
      <w:r w:rsidR="00691F84">
        <w:t xml:space="preserve">ABDR </w:t>
      </w:r>
      <w:r>
        <w:t>Data Standards</w:t>
      </w:r>
      <w:r w:rsidR="00041502">
        <w:t xml:space="preserve"> may</w:t>
      </w:r>
      <w:r>
        <w:t xml:space="preserve"> </w:t>
      </w:r>
      <w:r w:rsidR="005064CB">
        <w:t>include the following elements:</w:t>
      </w:r>
    </w:p>
    <w:p w:rsidR="005064CB" w:rsidRDefault="005064CB" w:rsidP="001C5048">
      <w:pPr>
        <w:numPr>
          <w:ilvl w:val="1"/>
          <w:numId w:val="2"/>
        </w:numPr>
      </w:pPr>
      <w:r>
        <w:t>definitions</w:t>
      </w:r>
      <w:r w:rsidR="0028549A">
        <w:t xml:space="preserve"> and specification for data items</w:t>
      </w:r>
      <w:r>
        <w:t xml:space="preserve"> and interpretations, including protocols for </w:t>
      </w:r>
      <w:r w:rsidR="00041502">
        <w:t>data</w:t>
      </w:r>
      <w:r>
        <w:t xml:space="preserve"> </w:t>
      </w:r>
      <w:r w:rsidR="00041502">
        <w:t>clarification</w:t>
      </w:r>
      <w:r>
        <w:t xml:space="preserve"> </w:t>
      </w:r>
    </w:p>
    <w:p w:rsidR="005064CB" w:rsidRDefault="005064CB" w:rsidP="001C5048">
      <w:pPr>
        <w:numPr>
          <w:ilvl w:val="1"/>
          <w:numId w:val="2"/>
        </w:numPr>
      </w:pPr>
      <w:r>
        <w:t xml:space="preserve">specifications for required </w:t>
      </w:r>
      <w:r w:rsidR="0028549A">
        <w:t>processes, accuracy</w:t>
      </w:r>
      <w:r w:rsidR="00041502">
        <w:t xml:space="preserve">, </w:t>
      </w:r>
      <w:r>
        <w:t>prioritisation, comprehensiveness and timeliness of data entry</w:t>
      </w:r>
    </w:p>
    <w:p w:rsidR="005064CB" w:rsidRDefault="005064CB" w:rsidP="001C5048">
      <w:pPr>
        <w:numPr>
          <w:ilvl w:val="1"/>
          <w:numId w:val="2"/>
        </w:numPr>
      </w:pPr>
      <w:r>
        <w:lastRenderedPageBreak/>
        <w:t>protocols for reporting, auditing and analysis to assess achievement of the Data Standards</w:t>
      </w:r>
    </w:p>
    <w:p w:rsidR="005064CB" w:rsidRDefault="005064CB" w:rsidP="001C5048">
      <w:pPr>
        <w:numPr>
          <w:ilvl w:val="1"/>
          <w:numId w:val="2"/>
        </w:numPr>
      </w:pPr>
      <w:proofErr w:type="gramStart"/>
      <w:r>
        <w:t>protocols</w:t>
      </w:r>
      <w:proofErr w:type="gramEnd"/>
      <w:r>
        <w:t xml:space="preserve"> for data </w:t>
      </w:r>
      <w:r w:rsidR="00041502">
        <w:t xml:space="preserve">correction and </w:t>
      </w:r>
      <w:r>
        <w:t xml:space="preserve">process improvement </w:t>
      </w:r>
      <w:r w:rsidR="00041502">
        <w:t>to improve data integrity.</w:t>
      </w:r>
    </w:p>
    <w:p w:rsidR="00041502" w:rsidRDefault="00041502" w:rsidP="001C5048">
      <w:pPr>
        <w:numPr>
          <w:ilvl w:val="0"/>
          <w:numId w:val="2"/>
        </w:numPr>
      </w:pPr>
      <w:r>
        <w:t xml:space="preserve">The </w:t>
      </w:r>
      <w:r w:rsidR="00691F84">
        <w:t xml:space="preserve">ABDR </w:t>
      </w:r>
      <w:r>
        <w:t>Data Standards are determined by the NBA General Manager and issued by the NBA as the technical authority for ABDR, with endorsement from the Steering Committee and based on advice and consultations with relevant clinical and other stakeholders.</w:t>
      </w:r>
    </w:p>
    <w:p w:rsidR="00A92232" w:rsidRPr="001C5048" w:rsidRDefault="00A92232" w:rsidP="001C5048">
      <w:pPr>
        <w:tabs>
          <w:tab w:val="left" w:pos="1935"/>
        </w:tabs>
        <w:rPr>
          <w:rFonts w:cs="Arial"/>
          <w:b/>
          <w:bCs/>
          <w:iCs/>
        </w:rPr>
      </w:pPr>
      <w:r w:rsidRPr="001C5048">
        <w:rPr>
          <w:rFonts w:cs="Arial"/>
          <w:b/>
          <w:bCs/>
          <w:iCs/>
        </w:rPr>
        <w:t>Privacy Policy</w:t>
      </w:r>
    </w:p>
    <w:p w:rsidR="00A92232" w:rsidRDefault="00076B4F" w:rsidP="001C5048">
      <w:pPr>
        <w:numPr>
          <w:ilvl w:val="0"/>
          <w:numId w:val="2"/>
        </w:numPr>
      </w:pPr>
      <w:r>
        <w:t xml:space="preserve">The ABDR Privacy Policy specifies the requirements for obtaining and managing patient consent for the collection of sensitive personal information </w:t>
      </w:r>
      <w:r w:rsidR="0028549A">
        <w:t xml:space="preserve">in ABDR at an HTC and in </w:t>
      </w:r>
      <w:proofErr w:type="spellStart"/>
      <w:r w:rsidR="0028549A">
        <w:t>MyABDR</w:t>
      </w:r>
      <w:proofErr w:type="spellEnd"/>
      <w:r w:rsidR="0028549A">
        <w:t xml:space="preserve">, which is a requirement under the </w:t>
      </w:r>
      <w:r w:rsidR="0028549A" w:rsidRPr="001C5048">
        <w:rPr>
          <w:i/>
        </w:rPr>
        <w:t>Privacy Act 1988</w:t>
      </w:r>
      <w:r w:rsidR="0028549A">
        <w:t xml:space="preserve"> (</w:t>
      </w:r>
      <w:proofErr w:type="spellStart"/>
      <w:r w:rsidR="0028549A">
        <w:t>Cth</w:t>
      </w:r>
      <w:proofErr w:type="spellEnd"/>
      <w:r w:rsidR="0028549A">
        <w:t>) and is also consistent with State and Territory privacy and patient confidentiality requirements.  The Privacy Policy also includes patient information and informed consent notices, patient registration form, and an implementation protocol for HTCs.</w:t>
      </w:r>
    </w:p>
    <w:p w:rsidR="009B42E6" w:rsidRDefault="009B42E6" w:rsidP="009B42E6">
      <w:pPr>
        <w:tabs>
          <w:tab w:val="left" w:pos="1935"/>
        </w:tabs>
        <w:rPr>
          <w:rFonts w:cs="Arial"/>
          <w:b/>
          <w:bCs/>
          <w:iCs/>
        </w:rPr>
      </w:pPr>
      <w:r w:rsidRPr="0068348D">
        <w:rPr>
          <w:rFonts w:cs="Arial"/>
          <w:b/>
          <w:bCs/>
          <w:iCs/>
        </w:rPr>
        <w:t>NBA Data Governance Framework</w:t>
      </w:r>
    </w:p>
    <w:p w:rsidR="009B42E6" w:rsidRPr="001C5048" w:rsidRDefault="0028549A" w:rsidP="001C5048">
      <w:pPr>
        <w:numPr>
          <w:ilvl w:val="0"/>
          <w:numId w:val="2"/>
        </w:numPr>
      </w:pPr>
      <w:r>
        <w:t>The NBA has developed a data governance framework for endorsement by the jurisdictional Blood Committee, describing the required governance principles and processed for governance of all data held in blood sector systems operated by the NBA.  The NBA Data Governance Framework applies to the ABDR in parallel with these Governance Arrangements.  Procedures for consideration of requests for access to ABDR data are specified in the NBA Data Governance Framework.</w:t>
      </w:r>
    </w:p>
    <w:p w:rsidR="00076B4F" w:rsidRDefault="00076B4F" w:rsidP="00076B4F">
      <w:pPr>
        <w:tabs>
          <w:tab w:val="left" w:pos="1935"/>
        </w:tabs>
        <w:rPr>
          <w:rFonts w:cs="Arial"/>
          <w:b/>
          <w:bCs/>
          <w:iCs/>
        </w:rPr>
      </w:pPr>
      <w:r>
        <w:rPr>
          <w:rFonts w:cs="Arial"/>
          <w:b/>
          <w:bCs/>
          <w:iCs/>
        </w:rPr>
        <w:t>Controlled governance records</w:t>
      </w:r>
    </w:p>
    <w:p w:rsidR="00691F84" w:rsidRDefault="00691F84" w:rsidP="00076B4F">
      <w:pPr>
        <w:numPr>
          <w:ilvl w:val="0"/>
          <w:numId w:val="2"/>
        </w:numPr>
      </w:pPr>
      <w:r>
        <w:t>The NBA maintains controlled records of key aspects of the AB</w:t>
      </w:r>
      <w:r w:rsidR="00147867">
        <w:t>D</w:t>
      </w:r>
      <w:r>
        <w:t>R governance framework:</w:t>
      </w:r>
    </w:p>
    <w:p w:rsidR="00691F84" w:rsidRDefault="00523388" w:rsidP="00071E56">
      <w:pPr>
        <w:numPr>
          <w:ilvl w:val="1"/>
          <w:numId w:val="2"/>
        </w:numPr>
      </w:pPr>
      <w:r>
        <w:t>V</w:t>
      </w:r>
      <w:r w:rsidR="00691F84">
        <w:t xml:space="preserve">ersion </w:t>
      </w:r>
      <w:r>
        <w:t>C</w:t>
      </w:r>
      <w:r w:rsidR="00691F84">
        <w:t xml:space="preserve">ontrol </w:t>
      </w:r>
      <w:r>
        <w:t>R</w:t>
      </w:r>
      <w:r w:rsidR="00691F84">
        <w:t>egister for key ABDR governance documents</w:t>
      </w:r>
    </w:p>
    <w:p w:rsidR="00076B4F" w:rsidRPr="00812ECA" w:rsidRDefault="00691F84" w:rsidP="001C5048">
      <w:pPr>
        <w:numPr>
          <w:ilvl w:val="1"/>
          <w:numId w:val="2"/>
        </w:numPr>
      </w:pPr>
      <w:r>
        <w:t>a</w:t>
      </w:r>
      <w:r w:rsidR="00076B4F" w:rsidRPr="00812ECA">
        <w:t xml:space="preserve"> </w:t>
      </w:r>
      <w:r w:rsidR="00523388">
        <w:t>Security Access L</w:t>
      </w:r>
      <w:r>
        <w:t xml:space="preserve">og </w:t>
      </w:r>
      <w:r w:rsidR="00523388">
        <w:t>including</w:t>
      </w:r>
      <w:r>
        <w:t xml:space="preserve"> </w:t>
      </w:r>
      <w:r w:rsidR="00523388">
        <w:t xml:space="preserve">approved versions of </w:t>
      </w:r>
      <w:r>
        <w:t>the ABDR Permissions Matrix, categories of users having approved ABDR access</w:t>
      </w:r>
      <w:r w:rsidR="00523388">
        <w:t xml:space="preserve"> within the Permissions Matrix</w:t>
      </w:r>
      <w:r>
        <w:t>, and a log of all authorised users within those categories</w:t>
      </w:r>
    </w:p>
    <w:p w:rsidR="00076B4F" w:rsidRDefault="00523388" w:rsidP="001C5048">
      <w:pPr>
        <w:numPr>
          <w:ilvl w:val="1"/>
          <w:numId w:val="2"/>
        </w:numPr>
      </w:pPr>
      <w:proofErr w:type="gramStart"/>
      <w:r>
        <w:t>a</w:t>
      </w:r>
      <w:proofErr w:type="gramEnd"/>
      <w:r>
        <w:t xml:space="preserve"> Data </w:t>
      </w:r>
      <w:r w:rsidR="00071E56">
        <w:t>Reports</w:t>
      </w:r>
      <w:r>
        <w:t xml:space="preserve"> and Requests log, including the details and outcome of all requests for data reports or extracts from ABDR data.</w:t>
      </w:r>
    </w:p>
    <w:p w:rsidR="00523388" w:rsidRDefault="00523388" w:rsidP="001C5048">
      <w:pPr>
        <w:numPr>
          <w:ilvl w:val="0"/>
          <w:numId w:val="2"/>
        </w:numPr>
      </w:pPr>
      <w:r>
        <w:t>These controlled records are used for assurance and auditing purposes and are available for scrutiny by the ABDR Steering Committee at any time.</w:t>
      </w:r>
    </w:p>
    <w:p w:rsidR="00A92232" w:rsidRPr="001C5048" w:rsidRDefault="00A92232" w:rsidP="001C5048">
      <w:pPr>
        <w:tabs>
          <w:tab w:val="left" w:pos="1935"/>
        </w:tabs>
        <w:rPr>
          <w:rFonts w:cs="Arial"/>
          <w:b/>
          <w:bCs/>
          <w:iCs/>
        </w:rPr>
      </w:pPr>
      <w:r w:rsidRPr="001C5048">
        <w:rPr>
          <w:rFonts w:cs="Arial"/>
          <w:b/>
          <w:bCs/>
          <w:iCs/>
        </w:rPr>
        <w:t>Risk management plans</w:t>
      </w:r>
    </w:p>
    <w:p w:rsidR="00D16EB3" w:rsidRDefault="009418EB" w:rsidP="001C5048">
      <w:pPr>
        <w:numPr>
          <w:ilvl w:val="0"/>
          <w:numId w:val="2"/>
        </w:numPr>
      </w:pPr>
      <w:r>
        <w:t>Risk management plans and associated mitigations are maintained for all governance, system, operating and compliance risks associated with ABDR.</w:t>
      </w:r>
    </w:p>
    <w:p w:rsidR="00BE375B" w:rsidRPr="003D1379" w:rsidRDefault="00BE375B" w:rsidP="003D1379">
      <w:pPr>
        <w:pStyle w:val="Heading1"/>
        <w:keepNext w:val="0"/>
      </w:pPr>
      <w:bookmarkStart w:id="12" w:name="_Toc405296107"/>
      <w:r w:rsidRPr="003D1379">
        <w:t>ROLES AND RESPONSIBILITIES</w:t>
      </w:r>
      <w:bookmarkEnd w:id="11"/>
      <w:bookmarkEnd w:id="12"/>
    </w:p>
    <w:p w:rsidR="007A67AF" w:rsidRDefault="007A67AF" w:rsidP="0086596B">
      <w:pPr>
        <w:tabs>
          <w:tab w:val="left" w:pos="1935"/>
        </w:tabs>
        <w:rPr>
          <w:rFonts w:cs="Arial"/>
          <w:b/>
          <w:bCs/>
          <w:iCs/>
        </w:rPr>
      </w:pPr>
      <w:r>
        <w:rPr>
          <w:rFonts w:cs="Arial"/>
          <w:b/>
          <w:bCs/>
          <w:iCs/>
        </w:rPr>
        <w:t>National Blood Authority (NBA)</w:t>
      </w:r>
    </w:p>
    <w:p w:rsidR="007A67AF" w:rsidRDefault="007A67AF" w:rsidP="00CE688F">
      <w:pPr>
        <w:numPr>
          <w:ilvl w:val="0"/>
          <w:numId w:val="2"/>
        </w:numPr>
      </w:pPr>
      <w:r w:rsidRPr="007A67AF">
        <w:t xml:space="preserve">The National Blood Authority (NBA) </w:t>
      </w:r>
      <w:r w:rsidR="00D24D6A" w:rsidRPr="00371D5F">
        <w:t xml:space="preserve">operates as an Australian Government agency within the Commonwealth legislative framework. </w:t>
      </w:r>
      <w:r w:rsidR="00E5445F">
        <w:t xml:space="preserve"> </w:t>
      </w:r>
      <w:r w:rsidR="00D24D6A" w:rsidRPr="00371D5F">
        <w:t xml:space="preserve">Decision making </w:t>
      </w:r>
      <w:r w:rsidR="00D24D6A" w:rsidRPr="00371D5F">
        <w:lastRenderedPageBreak/>
        <w:t xml:space="preserve">powers within the </w:t>
      </w:r>
      <w:r w:rsidR="00D24D6A" w:rsidRPr="00071E56">
        <w:t>National Blood Agreement (2003)</w:t>
      </w:r>
      <w:r w:rsidR="00D24D6A" w:rsidRPr="00371D5F">
        <w:t xml:space="preserve"> lie with the NBA, the JBC</w:t>
      </w:r>
      <w:r w:rsidR="00D24D6A">
        <w:t xml:space="preserve"> </w:t>
      </w:r>
      <w:r w:rsidR="00D24D6A" w:rsidRPr="00371D5F">
        <w:t>or</w:t>
      </w:r>
      <w:r w:rsidR="00D24D6A">
        <w:t>,</w:t>
      </w:r>
      <w:r w:rsidR="00D24D6A" w:rsidRPr="00371D5F">
        <w:t xml:space="preserve"> </w:t>
      </w:r>
      <w:r w:rsidR="00D24D6A">
        <w:t xml:space="preserve">ultimately, with the </w:t>
      </w:r>
      <w:r w:rsidR="00E77404">
        <w:t xml:space="preserve">COAG </w:t>
      </w:r>
      <w:r w:rsidR="004F7F0E">
        <w:t>Health</w:t>
      </w:r>
      <w:r w:rsidR="00E77404">
        <w:t xml:space="preserve"> Council</w:t>
      </w:r>
      <w:r w:rsidR="00D24D6A" w:rsidRPr="00371D5F">
        <w:t>.</w:t>
      </w:r>
      <w:r w:rsidR="00D24D6A">
        <w:t xml:space="preserve">  The NBA is </w:t>
      </w:r>
      <w:r w:rsidRPr="007A67AF">
        <w:t xml:space="preserve">responsible to </w:t>
      </w:r>
      <w:r w:rsidR="00A05031">
        <w:t xml:space="preserve">all Australian </w:t>
      </w:r>
      <w:r w:rsidRPr="007A67AF">
        <w:t>governments, through the JBC, to ensure the operation of the ABDR is effective and efficient, meets all stakeholder requirements</w:t>
      </w:r>
      <w:r w:rsidR="00CD2267">
        <w:t>,</w:t>
      </w:r>
      <w:r w:rsidR="00E51445">
        <w:t xml:space="preserve"> </w:t>
      </w:r>
      <w:r w:rsidR="00E51445" w:rsidRPr="007A67AF">
        <w:t xml:space="preserve">and </w:t>
      </w:r>
      <w:r w:rsidR="00E51445">
        <w:t>is compliant with applicable legal requirements and policies applying to the NBA as a Commonwealth agency</w:t>
      </w:r>
      <w:r w:rsidRPr="007A67AF">
        <w:t>.</w:t>
      </w:r>
      <w:r w:rsidR="00C4728C">
        <w:t xml:space="preserve">  </w:t>
      </w:r>
      <w:r w:rsidRPr="007A67AF">
        <w:t>This includes responsibility for:</w:t>
      </w:r>
    </w:p>
    <w:p w:rsidR="007A67AF" w:rsidRPr="00071E56" w:rsidRDefault="007A67AF" w:rsidP="00071E56">
      <w:pPr>
        <w:numPr>
          <w:ilvl w:val="1"/>
          <w:numId w:val="2"/>
        </w:numPr>
      </w:pPr>
      <w:r w:rsidRPr="00071E56">
        <w:t>identification and management of risk;</w:t>
      </w:r>
    </w:p>
    <w:p w:rsidR="007A67AF" w:rsidRPr="009954EF" w:rsidRDefault="007A67AF" w:rsidP="007A67AF">
      <w:pPr>
        <w:numPr>
          <w:ilvl w:val="1"/>
          <w:numId w:val="2"/>
        </w:numPr>
        <w:rPr>
          <w:rFonts w:cs="Arial"/>
        </w:rPr>
      </w:pPr>
      <w:r>
        <w:rPr>
          <w:rFonts w:cs="Arial"/>
          <w:bCs/>
          <w:iCs/>
        </w:rPr>
        <w:t>monitoring and management of governance and system performance;</w:t>
      </w:r>
    </w:p>
    <w:p w:rsidR="007A67AF" w:rsidRPr="009954EF" w:rsidRDefault="00E77404" w:rsidP="007A67AF">
      <w:pPr>
        <w:numPr>
          <w:ilvl w:val="1"/>
          <w:numId w:val="2"/>
        </w:numPr>
        <w:rPr>
          <w:rFonts w:cs="Arial"/>
        </w:rPr>
      </w:pPr>
      <w:r>
        <w:rPr>
          <w:rFonts w:cs="Arial"/>
          <w:bCs/>
          <w:iCs/>
        </w:rPr>
        <w:t xml:space="preserve">system </w:t>
      </w:r>
      <w:r w:rsidR="007A67AF">
        <w:rPr>
          <w:rFonts w:cs="Arial"/>
          <w:bCs/>
          <w:iCs/>
        </w:rPr>
        <w:t>planning</w:t>
      </w:r>
      <w:r w:rsidR="00FA1BB7">
        <w:rPr>
          <w:rFonts w:cs="Arial"/>
          <w:bCs/>
          <w:iCs/>
        </w:rPr>
        <w:t>,</w:t>
      </w:r>
      <w:r w:rsidR="007A67AF">
        <w:rPr>
          <w:rFonts w:cs="Arial"/>
          <w:bCs/>
          <w:iCs/>
        </w:rPr>
        <w:t xml:space="preserve"> development</w:t>
      </w:r>
      <w:r w:rsidR="00FA1BB7">
        <w:rPr>
          <w:rFonts w:cs="Arial"/>
          <w:bCs/>
          <w:iCs/>
        </w:rPr>
        <w:t xml:space="preserve"> and implementation</w:t>
      </w:r>
      <w:r w:rsidR="007A67AF">
        <w:rPr>
          <w:rFonts w:cs="Arial"/>
          <w:bCs/>
          <w:iCs/>
        </w:rPr>
        <w:t xml:space="preserve">; </w:t>
      </w:r>
    </w:p>
    <w:p w:rsidR="007A67AF" w:rsidRPr="00E77871" w:rsidRDefault="002246D9" w:rsidP="007A67AF">
      <w:pPr>
        <w:numPr>
          <w:ilvl w:val="1"/>
          <w:numId w:val="2"/>
        </w:numPr>
        <w:rPr>
          <w:rFonts w:cs="Arial"/>
        </w:rPr>
      </w:pPr>
      <w:r>
        <w:rPr>
          <w:rFonts w:cs="Arial"/>
          <w:bCs/>
          <w:iCs/>
        </w:rPr>
        <w:t xml:space="preserve">maintaining appropriate </w:t>
      </w:r>
      <w:r w:rsidR="007A67AF">
        <w:rPr>
          <w:rFonts w:cs="Arial"/>
          <w:bCs/>
          <w:iCs/>
        </w:rPr>
        <w:t>privacy</w:t>
      </w:r>
      <w:r w:rsidR="00DA2225">
        <w:rPr>
          <w:rFonts w:cs="Arial"/>
          <w:bCs/>
          <w:iCs/>
        </w:rPr>
        <w:t>, confidentiality</w:t>
      </w:r>
      <w:r w:rsidR="007A67AF">
        <w:rPr>
          <w:rFonts w:cs="Arial"/>
          <w:bCs/>
          <w:iCs/>
        </w:rPr>
        <w:t xml:space="preserve"> and security arrangements</w:t>
      </w:r>
      <w:r w:rsidR="00EB18B5">
        <w:rPr>
          <w:rFonts w:cs="Arial"/>
          <w:bCs/>
          <w:iCs/>
        </w:rPr>
        <w:t xml:space="preserve"> including issuing the ABDR Privacy Policy</w:t>
      </w:r>
      <w:r w:rsidR="007A67AF">
        <w:rPr>
          <w:rFonts w:cs="Arial"/>
          <w:bCs/>
          <w:iCs/>
        </w:rPr>
        <w:t xml:space="preserve">; </w:t>
      </w:r>
    </w:p>
    <w:p w:rsidR="00E77871" w:rsidRPr="007A67AF" w:rsidRDefault="00E77871" w:rsidP="007A67AF">
      <w:pPr>
        <w:numPr>
          <w:ilvl w:val="1"/>
          <w:numId w:val="2"/>
        </w:numPr>
        <w:rPr>
          <w:rFonts w:cs="Arial"/>
        </w:rPr>
      </w:pPr>
      <w:r>
        <w:rPr>
          <w:rFonts w:cs="Arial"/>
          <w:bCs/>
          <w:iCs/>
        </w:rPr>
        <w:t xml:space="preserve">arrangements to ensure stakeholders are effectively consulted; </w:t>
      </w:r>
    </w:p>
    <w:p w:rsidR="007A67AF" w:rsidRPr="00B07ADC" w:rsidRDefault="007A67AF" w:rsidP="007A67AF">
      <w:pPr>
        <w:numPr>
          <w:ilvl w:val="1"/>
          <w:numId w:val="2"/>
        </w:numPr>
        <w:rPr>
          <w:rFonts w:cs="Arial"/>
        </w:rPr>
      </w:pPr>
      <w:r>
        <w:rPr>
          <w:rFonts w:cs="Arial"/>
          <w:bCs/>
          <w:iCs/>
        </w:rPr>
        <w:t>obtaining and managing necessary supporting funding;</w:t>
      </w:r>
    </w:p>
    <w:p w:rsidR="00C137D9" w:rsidRPr="002246D9" w:rsidRDefault="007A67AF" w:rsidP="00DB1CAE">
      <w:pPr>
        <w:numPr>
          <w:ilvl w:val="1"/>
          <w:numId w:val="2"/>
        </w:numPr>
      </w:pPr>
      <w:r>
        <w:rPr>
          <w:rFonts w:cs="Arial"/>
          <w:bCs/>
          <w:iCs/>
        </w:rPr>
        <w:t>management of the ABDR support contract</w:t>
      </w:r>
      <w:r w:rsidR="00E51445">
        <w:rPr>
          <w:rFonts w:cs="Arial"/>
          <w:bCs/>
          <w:iCs/>
        </w:rPr>
        <w:t xml:space="preserve"> and AHCDO funding agreement</w:t>
      </w:r>
      <w:r w:rsidR="00C27990">
        <w:rPr>
          <w:rFonts w:cs="Arial"/>
          <w:bCs/>
          <w:iCs/>
        </w:rPr>
        <w:t xml:space="preserve"> in relation to the ABDR</w:t>
      </w:r>
      <w:r w:rsidR="00C137D9">
        <w:rPr>
          <w:rFonts w:cs="Arial"/>
          <w:bCs/>
          <w:iCs/>
        </w:rPr>
        <w:t>;</w:t>
      </w:r>
    </w:p>
    <w:p w:rsidR="00C137D9" w:rsidRDefault="00E77404" w:rsidP="00DB1CAE">
      <w:pPr>
        <w:numPr>
          <w:ilvl w:val="1"/>
          <w:numId w:val="2"/>
        </w:numPr>
      </w:pPr>
      <w:r>
        <w:rPr>
          <w:rFonts w:cs="Arial"/>
          <w:bCs/>
          <w:iCs/>
        </w:rPr>
        <w:t xml:space="preserve">determining and issuing </w:t>
      </w:r>
      <w:r w:rsidR="00D24D6A">
        <w:t xml:space="preserve">key </w:t>
      </w:r>
      <w:r w:rsidR="007A67AF">
        <w:t>operational parameters</w:t>
      </w:r>
      <w:r w:rsidR="007A5034">
        <w:t xml:space="preserve"> and requirements</w:t>
      </w:r>
      <w:r w:rsidR="007A67AF">
        <w:t xml:space="preserve"> relevant to the use of the ABDR</w:t>
      </w:r>
      <w:r w:rsidR="00C137D9">
        <w:t>;</w:t>
      </w:r>
    </w:p>
    <w:p w:rsidR="00EB18B5" w:rsidRDefault="00DA2225" w:rsidP="00DB1CAE">
      <w:pPr>
        <w:numPr>
          <w:ilvl w:val="1"/>
          <w:numId w:val="2"/>
        </w:numPr>
      </w:pPr>
      <w:r>
        <w:t>determining and issuing Data Standards to ensure integrity of ABDR data as a technical authority, following endorsement</w:t>
      </w:r>
      <w:r w:rsidRPr="00DA2225">
        <w:t xml:space="preserve"> </w:t>
      </w:r>
      <w:r>
        <w:t xml:space="preserve">by the </w:t>
      </w:r>
      <w:r w:rsidR="00EB18B5">
        <w:t>Steering Committee;</w:t>
      </w:r>
    </w:p>
    <w:p w:rsidR="00DA2225" w:rsidRDefault="00EB18B5" w:rsidP="00DB1CAE">
      <w:pPr>
        <w:numPr>
          <w:ilvl w:val="1"/>
          <w:numId w:val="2"/>
        </w:numPr>
      </w:pPr>
      <w:r>
        <w:t>providing technical data expertise to</w:t>
      </w:r>
      <w:r w:rsidR="00DA2225">
        <w:t xml:space="preserve"> </w:t>
      </w:r>
      <w:r>
        <w:t xml:space="preserve">support </w:t>
      </w:r>
      <w:r w:rsidR="009418EB">
        <w:t xml:space="preserve">ABDR </w:t>
      </w:r>
      <w:r>
        <w:t xml:space="preserve">data integrity through </w:t>
      </w:r>
      <w:r w:rsidR="00DA2225">
        <w:t xml:space="preserve"> implementation of the Data Standards</w:t>
      </w:r>
      <w:r>
        <w:t>,</w:t>
      </w:r>
      <w:r w:rsidR="00DA2225">
        <w:t xml:space="preserve"> in conjunction with </w:t>
      </w:r>
      <w:r>
        <w:t>AHCDO, the ABDR Data Manager’s Group, and D</w:t>
      </w:r>
      <w:r w:rsidR="00DA2225">
        <w:t>irectors</w:t>
      </w:r>
      <w:r>
        <w:t xml:space="preserve"> and</w:t>
      </w:r>
      <w:r w:rsidR="00DA2225">
        <w:t xml:space="preserve"> </w:t>
      </w:r>
      <w:r>
        <w:t>D</w:t>
      </w:r>
      <w:r w:rsidR="00DA2225">
        <w:t xml:space="preserve">ata </w:t>
      </w:r>
      <w:r>
        <w:t>M</w:t>
      </w:r>
      <w:r w:rsidR="00DA2225">
        <w:t xml:space="preserve">anagers at HTCs; </w:t>
      </w:r>
    </w:p>
    <w:p w:rsidR="00D24D6A" w:rsidRDefault="00C137D9" w:rsidP="00DB1CAE">
      <w:pPr>
        <w:numPr>
          <w:ilvl w:val="1"/>
          <w:numId w:val="2"/>
        </w:numPr>
      </w:pPr>
      <w:r>
        <w:t>establishing and supporting the ABDR User Reference Group;</w:t>
      </w:r>
      <w:r w:rsidR="00D24D6A">
        <w:t xml:space="preserve"> and</w:t>
      </w:r>
      <w:r w:rsidR="00D24D6A" w:rsidRPr="00D24D6A">
        <w:t xml:space="preserve"> </w:t>
      </w:r>
    </w:p>
    <w:p w:rsidR="00D24D6A" w:rsidRDefault="00D24D6A" w:rsidP="00DB1CAE">
      <w:pPr>
        <w:numPr>
          <w:ilvl w:val="1"/>
          <w:numId w:val="2"/>
        </w:numPr>
      </w:pPr>
      <w:proofErr w:type="gramStart"/>
      <w:r>
        <w:t>establish</w:t>
      </w:r>
      <w:r w:rsidR="00C137D9">
        <w:t>ing</w:t>
      </w:r>
      <w:proofErr w:type="gramEnd"/>
      <w:r>
        <w:t xml:space="preserve"> and suppor</w:t>
      </w:r>
      <w:r w:rsidR="00C137D9">
        <w:t xml:space="preserve">ting </w:t>
      </w:r>
      <w:r>
        <w:t>the ABDR Steering Committee</w:t>
      </w:r>
      <w:r w:rsidR="00270691">
        <w:t xml:space="preserve"> including meeting planning and follow-up in conjunction with the ABDR Chair.</w:t>
      </w:r>
      <w:r>
        <w:t xml:space="preserve"> </w:t>
      </w:r>
    </w:p>
    <w:p w:rsidR="007A67AF" w:rsidRPr="00D24D6A" w:rsidRDefault="00121929" w:rsidP="00CE688F">
      <w:pPr>
        <w:numPr>
          <w:ilvl w:val="0"/>
          <w:numId w:val="2"/>
        </w:numPr>
      </w:pPr>
      <w:r w:rsidRPr="0086596B">
        <w:t>The NBA manages relationships with all stakeholders involved in distribution of clotting factor product to PWBD.  The NBA provide</w:t>
      </w:r>
      <w:r w:rsidR="00286571">
        <w:t>s</w:t>
      </w:r>
      <w:r w:rsidRPr="0086596B">
        <w:t xml:space="preserve"> funding and undertake</w:t>
      </w:r>
      <w:r w:rsidR="00286571">
        <w:t>s</w:t>
      </w:r>
      <w:r w:rsidRPr="0086596B">
        <w:t xml:space="preserve"> contracting for the implementation of the ABDR, and holds the performance</w:t>
      </w:r>
      <w:r w:rsidR="00EB18B5">
        <w:t>, compliance</w:t>
      </w:r>
      <w:r w:rsidRPr="0086596B">
        <w:t xml:space="preserve"> and financial accountability for the outcomes.</w:t>
      </w:r>
      <w:r w:rsidR="00C137D9">
        <w:t xml:space="preserve">  Under the national blood arrangements, and consistent with the National Safety and Quality Health Service Standards, the NBA in engaged with stakeholders in supporting or undertaking a range of activities to support best practice management and use of blood products, including clotting factor products. </w:t>
      </w:r>
      <w:r w:rsidRPr="0086596B">
        <w:t xml:space="preserve">The NBA has established the ABDR </w:t>
      </w:r>
      <w:r w:rsidRPr="005C43C9">
        <w:t>Steering Committee to inform its management</w:t>
      </w:r>
      <w:r w:rsidRPr="0086596B">
        <w:t xml:space="preserve"> of these functions in relation to the ABDR</w:t>
      </w:r>
      <w:r w:rsidR="00E5445F">
        <w:t>.</w:t>
      </w:r>
    </w:p>
    <w:p w:rsidR="00C4728C" w:rsidRDefault="00C4728C" w:rsidP="00CE688F">
      <w:pPr>
        <w:numPr>
          <w:ilvl w:val="0"/>
          <w:numId w:val="2"/>
        </w:numPr>
      </w:pPr>
      <w:r w:rsidRPr="005B13A7">
        <w:t xml:space="preserve">The ABDR is funded by all Australian governments and the NBA is responsible for ensuring that the governance </w:t>
      </w:r>
      <w:r w:rsidR="004B167D" w:rsidRPr="005B13A7">
        <w:t>arrangements</w:t>
      </w:r>
      <w:r w:rsidRPr="005B13A7">
        <w:t xml:space="preserve"> </w:t>
      </w:r>
      <w:r w:rsidR="005B13A7" w:rsidRPr="005B13A7">
        <w:t>comply with</w:t>
      </w:r>
      <w:r w:rsidRPr="005B13A7">
        <w:t xml:space="preserve"> value for money principles</w:t>
      </w:r>
      <w:r w:rsidR="005B13A7" w:rsidRPr="005B13A7">
        <w:t>,</w:t>
      </w:r>
      <w:r w:rsidRPr="005B13A7">
        <w:t xml:space="preserve"> accountability and transparency in all decisions and actions</w:t>
      </w:r>
      <w:r w:rsidR="00D15958" w:rsidRPr="005B13A7">
        <w:t>.</w:t>
      </w:r>
    </w:p>
    <w:p w:rsidR="0086596B" w:rsidRDefault="009405FA" w:rsidP="0086596B">
      <w:pPr>
        <w:tabs>
          <w:tab w:val="left" w:pos="1935"/>
        </w:tabs>
        <w:rPr>
          <w:rFonts w:cs="Arial"/>
          <w:b/>
          <w:bCs/>
          <w:iCs/>
        </w:rPr>
      </w:pPr>
      <w:r>
        <w:rPr>
          <w:rFonts w:cs="Arial"/>
          <w:b/>
          <w:bCs/>
          <w:iCs/>
        </w:rPr>
        <w:t xml:space="preserve">ABDR </w:t>
      </w:r>
      <w:r w:rsidR="0086596B">
        <w:rPr>
          <w:rFonts w:cs="Arial"/>
          <w:b/>
          <w:bCs/>
          <w:iCs/>
        </w:rPr>
        <w:t>Steering Committee</w:t>
      </w:r>
    </w:p>
    <w:p w:rsidR="00906BC2" w:rsidRPr="00CE688F" w:rsidRDefault="00B07ADC" w:rsidP="00CE688F">
      <w:pPr>
        <w:numPr>
          <w:ilvl w:val="0"/>
          <w:numId w:val="2"/>
        </w:numPr>
      </w:pPr>
      <w:r w:rsidRPr="00CE688F">
        <w:t>The ABDR Steering Committee is a principal element in ABDR governance arrangements. The NBA General Manager has</w:t>
      </w:r>
      <w:r w:rsidR="00625EE2" w:rsidRPr="00CE688F">
        <w:t xml:space="preserve"> </w:t>
      </w:r>
      <w:r w:rsidRPr="00CE688F">
        <w:t xml:space="preserve">established the Steering Committee </w:t>
      </w:r>
      <w:r w:rsidR="00625EE2" w:rsidRPr="00CE688F">
        <w:t xml:space="preserve">under section 38 of the </w:t>
      </w:r>
      <w:r w:rsidR="00CD2267" w:rsidRPr="00FC7A98">
        <w:rPr>
          <w:i/>
        </w:rPr>
        <w:t>National Blood Authority Act</w:t>
      </w:r>
      <w:r w:rsidR="00625EE2" w:rsidRPr="00FC7A98">
        <w:rPr>
          <w:i/>
        </w:rPr>
        <w:t xml:space="preserve"> 2003</w:t>
      </w:r>
      <w:r w:rsidR="00625EE2" w:rsidRPr="00CE688F">
        <w:t xml:space="preserve"> </w:t>
      </w:r>
      <w:r w:rsidRPr="00CE688F">
        <w:t xml:space="preserve">to assist in the performance of governance responsibilities outlined above. </w:t>
      </w:r>
      <w:r w:rsidR="009405FA" w:rsidRPr="00CE688F">
        <w:t xml:space="preserve">The Steering </w:t>
      </w:r>
      <w:r w:rsidR="009405FA" w:rsidRPr="00CE688F">
        <w:lastRenderedPageBreak/>
        <w:t xml:space="preserve">Committee is responsible to the NBA General Manager, on behalf of the JBC and Health Ministers, and responsive to sector stakeholders, </w:t>
      </w:r>
      <w:r w:rsidRPr="00CE688F">
        <w:t xml:space="preserve">for governance of the ABDR. </w:t>
      </w:r>
    </w:p>
    <w:p w:rsidR="000B5081" w:rsidRPr="00CE688F" w:rsidRDefault="000B5081" w:rsidP="00CE688F">
      <w:pPr>
        <w:numPr>
          <w:ilvl w:val="0"/>
          <w:numId w:val="2"/>
        </w:numPr>
      </w:pPr>
      <w:r w:rsidRPr="00CE688F">
        <w:t xml:space="preserve">The ABDR Steering Committee Charter is at Annex A. The Charter details the powers, responsibilities, functions and administrative arrangements associated with the Steering Committee. </w:t>
      </w:r>
      <w:r w:rsidR="005C1973" w:rsidRPr="00CE688F">
        <w:t xml:space="preserve"> In addition to the NBA and the JBC, HFA and AHCDO play key roles in the </w:t>
      </w:r>
      <w:r w:rsidR="00EB18B5">
        <w:t>governance</w:t>
      </w:r>
      <w:r w:rsidR="00EB18B5" w:rsidRPr="00CE688F">
        <w:t xml:space="preserve"> </w:t>
      </w:r>
      <w:r w:rsidR="005C1973" w:rsidRPr="00CE688F">
        <w:t xml:space="preserve">of the ABDR through the Steering Committee.  </w:t>
      </w:r>
    </w:p>
    <w:p w:rsidR="00CD42F9" w:rsidRPr="00CE688F" w:rsidRDefault="00CE688F" w:rsidP="00CE688F">
      <w:pPr>
        <w:numPr>
          <w:ilvl w:val="0"/>
          <w:numId w:val="2"/>
        </w:numPr>
      </w:pPr>
      <w:r w:rsidRPr="00CE688F">
        <w:t>The Steering Committee provides</w:t>
      </w:r>
      <w:r w:rsidR="00CD42F9" w:rsidRPr="00CE688F">
        <w:t xml:space="preserve"> oversight of the operations of the A</w:t>
      </w:r>
      <w:r w:rsidRPr="00CE688F">
        <w:t>BDR with the objectives of</w:t>
      </w:r>
      <w:r w:rsidR="00CD42F9" w:rsidRPr="00CE688F">
        <w:t>:</w:t>
      </w:r>
    </w:p>
    <w:p w:rsidR="00CD42F9" w:rsidRPr="00071E56" w:rsidRDefault="00CD42F9" w:rsidP="00071E56">
      <w:pPr>
        <w:numPr>
          <w:ilvl w:val="1"/>
          <w:numId w:val="2"/>
        </w:numPr>
      </w:pPr>
      <w:r w:rsidRPr="00071E56">
        <w:t>Provid</w:t>
      </w:r>
      <w:r w:rsidR="00CE688F" w:rsidRPr="00071E56">
        <w:t>ing</w:t>
      </w:r>
      <w:r w:rsidRPr="00071E56">
        <w:t xml:space="preserve"> a forum for engagement by all stakeholders on the operation and performance of the ABDR, including a conduit for communication between the NBA General Manager and senior management staff.</w:t>
      </w:r>
    </w:p>
    <w:p w:rsidR="00CD42F9" w:rsidRPr="00071E56" w:rsidRDefault="00CD42F9" w:rsidP="00071E56">
      <w:pPr>
        <w:numPr>
          <w:ilvl w:val="1"/>
          <w:numId w:val="2"/>
        </w:numPr>
      </w:pPr>
      <w:r w:rsidRPr="00071E56">
        <w:t>Advis</w:t>
      </w:r>
      <w:r w:rsidR="00CE688F" w:rsidRPr="00071E56">
        <w:t>ing</w:t>
      </w:r>
      <w:r w:rsidRPr="00071E56">
        <w:t xml:space="preserve"> the NBA General Manager of the adequacy of contractual and associated resourcing arrangements, including resourcing for data managers.</w:t>
      </w:r>
    </w:p>
    <w:p w:rsidR="00A32E95" w:rsidRPr="00071E56" w:rsidRDefault="00A32E95" w:rsidP="00071E56">
      <w:pPr>
        <w:numPr>
          <w:ilvl w:val="1"/>
          <w:numId w:val="2"/>
        </w:numPr>
      </w:pPr>
      <w:r w:rsidRPr="00071E56">
        <w:t>Advising the NBA General Manager on the determination and implementation of Data Standards to ensure integrity of data within ABDR.</w:t>
      </w:r>
    </w:p>
    <w:p w:rsidR="00CD42F9" w:rsidRPr="00E5445F" w:rsidRDefault="00CD42F9" w:rsidP="00071E56">
      <w:pPr>
        <w:numPr>
          <w:ilvl w:val="1"/>
          <w:numId w:val="2"/>
        </w:numPr>
      </w:pPr>
      <w:r w:rsidRPr="00071E56">
        <w:t>Advis</w:t>
      </w:r>
      <w:r w:rsidR="00CE688F" w:rsidRPr="00071E56">
        <w:t>ing</w:t>
      </w:r>
      <w:r w:rsidRPr="00071E56">
        <w:t xml:space="preserve"> the NBA General Manager on the adequacy and areas of improvement of business processes to ensure a minimum data set is provided for input into the ABDR for all </w:t>
      </w:r>
      <w:r>
        <w:t>clotting factor</w:t>
      </w:r>
      <w:r w:rsidRPr="00071E56">
        <w:t xml:space="preserve"> product issued. </w:t>
      </w:r>
    </w:p>
    <w:p w:rsidR="00CE688F" w:rsidRDefault="00E5445F" w:rsidP="00071E56">
      <w:pPr>
        <w:numPr>
          <w:ilvl w:val="1"/>
          <w:numId w:val="2"/>
        </w:numPr>
      </w:pPr>
      <w:r w:rsidRPr="00071E56">
        <w:t>Oversee</w:t>
      </w:r>
      <w:r w:rsidR="00CE688F" w:rsidRPr="00071E56">
        <w:t>ing</w:t>
      </w:r>
      <w:r w:rsidRPr="00071E56">
        <w:t xml:space="preserve"> the continual performance and where required re-development of the system to ensure it continues to meet stakeholder needs and remains consistent with best practice IT architecture and capabilities.</w:t>
      </w:r>
    </w:p>
    <w:p w:rsidR="00CD42F9" w:rsidRPr="00CE688F" w:rsidRDefault="00CD42F9" w:rsidP="00071E56">
      <w:pPr>
        <w:numPr>
          <w:ilvl w:val="1"/>
          <w:numId w:val="2"/>
        </w:numPr>
      </w:pPr>
      <w:r>
        <w:t>Consult</w:t>
      </w:r>
      <w:r w:rsidR="00CE688F">
        <w:t>ing</w:t>
      </w:r>
      <w:r>
        <w:t xml:space="preserve"> with relevant professional groups on improvements or modification to business </w:t>
      </w:r>
      <w:r w:rsidRPr="001D2413">
        <w:t>processes</w:t>
      </w:r>
      <w:r>
        <w:t xml:space="preserve"> employed in HTCs where it is directly related to the findings of the ABDR</w:t>
      </w:r>
    </w:p>
    <w:p w:rsidR="005C1973" w:rsidRDefault="005C1973" w:rsidP="00CD42F9">
      <w:pPr>
        <w:tabs>
          <w:tab w:val="left" w:pos="1935"/>
        </w:tabs>
        <w:rPr>
          <w:rFonts w:cs="Arial"/>
          <w:bCs/>
          <w:iCs/>
        </w:rPr>
      </w:pPr>
    </w:p>
    <w:p w:rsidR="00E5445F" w:rsidRDefault="00121929" w:rsidP="00121929">
      <w:pPr>
        <w:rPr>
          <w:b/>
        </w:rPr>
      </w:pPr>
      <w:r w:rsidRPr="0086596B">
        <w:rPr>
          <w:b/>
        </w:rPr>
        <w:t>Jurisdictions</w:t>
      </w:r>
      <w:r>
        <w:rPr>
          <w:b/>
        </w:rPr>
        <w:t xml:space="preserve"> (JBC) and the </w:t>
      </w:r>
      <w:r w:rsidR="004F7F0E">
        <w:rPr>
          <w:b/>
        </w:rPr>
        <w:t>COAG Heath Council</w:t>
      </w:r>
      <w:r w:rsidRPr="0086596B">
        <w:rPr>
          <w:b/>
        </w:rPr>
        <w:t xml:space="preserve"> </w:t>
      </w:r>
    </w:p>
    <w:p w:rsidR="00121929" w:rsidRPr="00CE688F" w:rsidRDefault="00121929" w:rsidP="00CE688F">
      <w:pPr>
        <w:numPr>
          <w:ilvl w:val="0"/>
          <w:numId w:val="2"/>
        </w:numPr>
      </w:pPr>
      <w:r w:rsidRPr="00CE688F">
        <w:t xml:space="preserve">The JBC is established as a subcommittee of the </w:t>
      </w:r>
      <w:r w:rsidR="00EB18B5">
        <w:t>Hospitals Principle Committee (HPC</w:t>
      </w:r>
      <w:r w:rsidRPr="00CE688F">
        <w:t xml:space="preserve">) and Australian Health Ministers’ Advisory Council (AHMAC). The Australian Government, and each State and Territory Government, are represented on the JBC. The JBC oversees the NBA and represents jurisdictional positions on policy, demand, supply planning, product distribution, funding and evidence-based approaches to emerging products, services and technologies. The JBC is also the primary body responsible for providing advice and support to </w:t>
      </w:r>
      <w:r w:rsidR="00EB18B5">
        <w:t>HPC</w:t>
      </w:r>
      <w:r w:rsidRPr="00CE688F">
        <w:t>, AHMAC</w:t>
      </w:r>
      <w:r w:rsidRPr="00CE688F" w:rsidDel="00F35611">
        <w:t xml:space="preserve"> </w:t>
      </w:r>
      <w:r w:rsidRPr="00CE688F">
        <w:t xml:space="preserve">and </w:t>
      </w:r>
      <w:r w:rsidR="004F7F0E">
        <w:t>COAG Health Council</w:t>
      </w:r>
      <w:r w:rsidR="004F7F0E" w:rsidRPr="00CE688F">
        <w:t xml:space="preserve"> </w:t>
      </w:r>
      <w:r w:rsidRPr="00CE688F">
        <w:t>on these matters.</w:t>
      </w:r>
    </w:p>
    <w:p w:rsidR="00121929" w:rsidRPr="00CE688F" w:rsidRDefault="00121929" w:rsidP="00CE688F">
      <w:pPr>
        <w:numPr>
          <w:ilvl w:val="0"/>
          <w:numId w:val="2"/>
        </w:numPr>
      </w:pPr>
      <w:r w:rsidRPr="00CE688F">
        <w:t xml:space="preserve">The JBC tasks the NBA with day to day management of clotting factor product supply and relies on staff in state/territory health networks, primarily those working in or associated to HTCs, to inform and corroborate supply needs described in NBA’s supply planning activities. </w:t>
      </w:r>
      <w:r w:rsidR="00270691" w:rsidRPr="00CE688F">
        <w:t xml:space="preserve"> </w:t>
      </w:r>
    </w:p>
    <w:p w:rsidR="00121929" w:rsidRPr="00CE688F" w:rsidRDefault="00CE688F" w:rsidP="00CE688F">
      <w:pPr>
        <w:numPr>
          <w:ilvl w:val="0"/>
          <w:numId w:val="2"/>
        </w:numPr>
      </w:pPr>
      <w:r>
        <w:t>Th</w:t>
      </w:r>
      <w:r w:rsidR="00204AF4" w:rsidRPr="00CE688F">
        <w:t>e JBC is represented directly on the ABDR Steering Committee to ensure that the demand and analysis requirements of the jurisdictions are met</w:t>
      </w:r>
      <w:r w:rsidR="00DA1228" w:rsidRPr="00CE688F">
        <w:t xml:space="preserve"> in the most effective manner</w:t>
      </w:r>
      <w:r w:rsidR="00204AF4" w:rsidRPr="00CE688F">
        <w:t xml:space="preserve">. </w:t>
      </w:r>
    </w:p>
    <w:p w:rsidR="00E5445F" w:rsidRPr="00E5445F" w:rsidRDefault="00121929" w:rsidP="00FC7A98">
      <w:pPr>
        <w:pStyle w:val="PFNumLevel3"/>
        <w:keepNext/>
        <w:numPr>
          <w:ilvl w:val="0"/>
          <w:numId w:val="0"/>
        </w:numPr>
        <w:rPr>
          <w:b/>
          <w:sz w:val="24"/>
          <w:szCs w:val="24"/>
        </w:rPr>
      </w:pPr>
      <w:bookmarkStart w:id="13" w:name="_Toc255940734"/>
      <w:r w:rsidRPr="00E5445F">
        <w:rPr>
          <w:b/>
          <w:sz w:val="24"/>
          <w:szCs w:val="24"/>
        </w:rPr>
        <w:lastRenderedPageBreak/>
        <w:t>KEY</w:t>
      </w:r>
      <w:r w:rsidR="00D85B21" w:rsidRPr="00E5445F">
        <w:rPr>
          <w:b/>
          <w:sz w:val="24"/>
          <w:szCs w:val="24"/>
        </w:rPr>
        <w:t xml:space="preserve"> STAKEHOLDER</w:t>
      </w:r>
      <w:r w:rsidR="00E5445F" w:rsidRPr="00E5445F">
        <w:rPr>
          <w:b/>
          <w:sz w:val="24"/>
          <w:szCs w:val="24"/>
        </w:rPr>
        <w:t>S</w:t>
      </w:r>
      <w:bookmarkEnd w:id="13"/>
    </w:p>
    <w:p w:rsidR="00BB1993" w:rsidRPr="0086596B" w:rsidRDefault="00BB1993" w:rsidP="00CE688F">
      <w:pPr>
        <w:pStyle w:val="PFNumLevel3"/>
        <w:numPr>
          <w:ilvl w:val="0"/>
          <w:numId w:val="2"/>
        </w:numPr>
        <w:spacing w:line="240" w:lineRule="auto"/>
        <w:rPr>
          <w:sz w:val="24"/>
          <w:szCs w:val="24"/>
        </w:rPr>
      </w:pPr>
      <w:r w:rsidRPr="00CE688F">
        <w:rPr>
          <w:color w:val="auto"/>
          <w:sz w:val="24"/>
          <w:szCs w:val="24"/>
          <w:lang w:eastAsia="en-AU"/>
        </w:rPr>
        <w:t>A description of each stakeholder and their associated business needs in relation to the ABDR is described below.</w:t>
      </w:r>
    </w:p>
    <w:p w:rsidR="00CE688F" w:rsidRDefault="00BB1993" w:rsidP="00CE688F">
      <w:pPr>
        <w:pStyle w:val="PFNumLevel3"/>
        <w:numPr>
          <w:ilvl w:val="0"/>
          <w:numId w:val="0"/>
        </w:numPr>
        <w:spacing w:line="240" w:lineRule="auto"/>
        <w:rPr>
          <w:b/>
          <w:sz w:val="24"/>
          <w:szCs w:val="24"/>
        </w:rPr>
      </w:pPr>
      <w:r w:rsidRPr="00E5445F">
        <w:rPr>
          <w:b/>
          <w:sz w:val="24"/>
          <w:szCs w:val="24"/>
        </w:rPr>
        <w:t>Haemophilia Foundation Australia (HFA)</w:t>
      </w:r>
    </w:p>
    <w:p w:rsidR="00CE688F" w:rsidRDefault="00CE688F" w:rsidP="00CE688F">
      <w:pPr>
        <w:pStyle w:val="PFNumLevel3"/>
        <w:numPr>
          <w:ilvl w:val="0"/>
          <w:numId w:val="2"/>
        </w:numPr>
        <w:spacing w:line="240" w:lineRule="auto"/>
        <w:rPr>
          <w:rFonts w:cs="Arial"/>
          <w:sz w:val="24"/>
          <w:szCs w:val="24"/>
        </w:rPr>
      </w:pPr>
      <w:r w:rsidRPr="00B25525">
        <w:rPr>
          <w:sz w:val="24"/>
          <w:szCs w:val="24"/>
        </w:rPr>
        <w:t>HFA</w:t>
      </w:r>
      <w:r>
        <w:rPr>
          <w:b/>
          <w:sz w:val="24"/>
          <w:szCs w:val="24"/>
        </w:rPr>
        <w:t xml:space="preserve"> </w:t>
      </w:r>
      <w:r w:rsidR="00C27990" w:rsidRPr="00E5445F">
        <w:rPr>
          <w:sz w:val="24"/>
          <w:szCs w:val="24"/>
        </w:rPr>
        <w:t xml:space="preserve">is a not for profit organisation which represents people </w:t>
      </w:r>
      <w:r w:rsidR="00BB1993" w:rsidRPr="00E5445F">
        <w:rPr>
          <w:sz w:val="24"/>
          <w:szCs w:val="24"/>
        </w:rPr>
        <w:t xml:space="preserve">with haemophilia, von </w:t>
      </w:r>
      <w:proofErr w:type="spellStart"/>
      <w:r w:rsidR="00BB1993" w:rsidRPr="00E5445F">
        <w:rPr>
          <w:sz w:val="24"/>
          <w:szCs w:val="24"/>
        </w:rPr>
        <w:t>Willebrand</w:t>
      </w:r>
      <w:proofErr w:type="spellEnd"/>
      <w:r w:rsidR="00BB1993" w:rsidRPr="00E5445F">
        <w:rPr>
          <w:sz w:val="24"/>
          <w:szCs w:val="24"/>
        </w:rPr>
        <w:t xml:space="preserve"> disease and other bleeding disorders and their families</w:t>
      </w:r>
      <w:r w:rsidR="00C27990" w:rsidRPr="00E5445F">
        <w:rPr>
          <w:sz w:val="24"/>
          <w:szCs w:val="24"/>
        </w:rPr>
        <w:t xml:space="preserve"> throughout Australia</w:t>
      </w:r>
      <w:r w:rsidR="00BB1993" w:rsidRPr="00E5445F">
        <w:rPr>
          <w:sz w:val="24"/>
          <w:szCs w:val="24"/>
        </w:rPr>
        <w:t xml:space="preserve">. HFA is committed to improving treatment and care through representation and advocacy, education and the promotion of research.  HFA </w:t>
      </w:r>
      <w:r w:rsidR="001634BC" w:rsidRPr="00E5445F">
        <w:rPr>
          <w:sz w:val="24"/>
          <w:szCs w:val="24"/>
        </w:rPr>
        <w:t xml:space="preserve">consists of voluntary members and </w:t>
      </w:r>
      <w:r w:rsidR="00BB1993" w:rsidRPr="00E5445F">
        <w:rPr>
          <w:sz w:val="24"/>
          <w:szCs w:val="24"/>
        </w:rPr>
        <w:t xml:space="preserve">supports a network of State and Territory Foundations in Australia.  </w:t>
      </w:r>
      <w:r w:rsidR="00BB1993" w:rsidRPr="00E5445F">
        <w:rPr>
          <w:rFonts w:cs="Arial"/>
          <w:sz w:val="24"/>
          <w:szCs w:val="24"/>
        </w:rPr>
        <w:t xml:space="preserve">As a National Member Organisation of the World Federation of </w:t>
      </w:r>
      <w:proofErr w:type="spellStart"/>
      <w:r w:rsidR="00BB1993" w:rsidRPr="00E5445F">
        <w:rPr>
          <w:rFonts w:cs="Arial"/>
          <w:sz w:val="24"/>
          <w:szCs w:val="24"/>
        </w:rPr>
        <w:t>Hemophilia</w:t>
      </w:r>
      <w:proofErr w:type="spellEnd"/>
      <w:r w:rsidR="00BB1993" w:rsidRPr="00E5445F">
        <w:rPr>
          <w:rFonts w:cs="Arial"/>
          <w:sz w:val="24"/>
          <w:szCs w:val="24"/>
        </w:rPr>
        <w:t>, HFA participates in international efforts to improve access to care and treatment for people with bleeding disorders around the world</w:t>
      </w:r>
      <w:r w:rsidR="00906BC2" w:rsidRPr="00E5445F">
        <w:rPr>
          <w:rFonts w:cs="Arial"/>
          <w:sz w:val="24"/>
          <w:szCs w:val="24"/>
        </w:rPr>
        <w:t xml:space="preserve"> </w:t>
      </w:r>
      <w:r w:rsidR="00BE71F9" w:rsidRPr="00E5445F">
        <w:rPr>
          <w:rFonts w:cs="Arial"/>
          <w:sz w:val="24"/>
          <w:szCs w:val="24"/>
        </w:rPr>
        <w:t>(</w:t>
      </w:r>
      <w:hyperlink r:id="rId20" w:history="1">
        <w:r w:rsidR="00BB1993" w:rsidRPr="00E5445F">
          <w:rPr>
            <w:rStyle w:val="Hyperlink"/>
            <w:rFonts w:cs="Arial"/>
            <w:sz w:val="24"/>
            <w:szCs w:val="24"/>
          </w:rPr>
          <w:t>http://www.haemophilia.org.au/</w:t>
        </w:r>
      </w:hyperlink>
      <w:r w:rsidR="00BB1993" w:rsidRPr="00E5445F">
        <w:rPr>
          <w:rFonts w:cs="Arial"/>
          <w:sz w:val="24"/>
          <w:szCs w:val="24"/>
        </w:rPr>
        <w:t>)</w:t>
      </w:r>
      <w:r w:rsidR="00906BC2" w:rsidRPr="00E5445F">
        <w:rPr>
          <w:rFonts w:cs="Arial"/>
          <w:sz w:val="24"/>
          <w:szCs w:val="24"/>
        </w:rPr>
        <w:t>.</w:t>
      </w:r>
      <w:r w:rsidR="00BB1993" w:rsidRPr="00E5445F">
        <w:rPr>
          <w:rFonts w:cs="Arial"/>
          <w:sz w:val="24"/>
          <w:szCs w:val="24"/>
        </w:rPr>
        <w:t xml:space="preserve">  </w:t>
      </w:r>
    </w:p>
    <w:p w:rsidR="001634BC" w:rsidRPr="00E5445F" w:rsidRDefault="001634BC" w:rsidP="00CE688F">
      <w:pPr>
        <w:pStyle w:val="PFNumLevel3"/>
        <w:numPr>
          <w:ilvl w:val="0"/>
          <w:numId w:val="2"/>
        </w:numPr>
        <w:spacing w:line="240" w:lineRule="auto"/>
        <w:rPr>
          <w:rFonts w:cs="Arial"/>
          <w:sz w:val="24"/>
          <w:szCs w:val="24"/>
        </w:rPr>
      </w:pPr>
      <w:r w:rsidRPr="00E5445F">
        <w:rPr>
          <w:sz w:val="24"/>
          <w:szCs w:val="24"/>
        </w:rPr>
        <w:t>HFA requires demographic information on PWBD to inform its activities and provide information and services to member Foundations and people with bleeding disorders throughout Australia</w:t>
      </w:r>
      <w:r w:rsidR="00CE688F">
        <w:rPr>
          <w:sz w:val="24"/>
          <w:szCs w:val="24"/>
        </w:rPr>
        <w:t xml:space="preserve"> and as such </w:t>
      </w:r>
      <w:r w:rsidR="00204AF4" w:rsidRPr="00E5445F">
        <w:rPr>
          <w:sz w:val="24"/>
          <w:szCs w:val="24"/>
        </w:rPr>
        <w:t xml:space="preserve">is a key member of the ABDR Steering Committee on which they are responsible for </w:t>
      </w:r>
      <w:r w:rsidR="00933C1C" w:rsidRPr="00E5445F">
        <w:rPr>
          <w:sz w:val="24"/>
          <w:szCs w:val="24"/>
        </w:rPr>
        <w:t>representing the views of PWBD in relation to the overall governance, development and use of the ABDR.</w:t>
      </w:r>
    </w:p>
    <w:p w:rsidR="00CE688F" w:rsidRDefault="00BB1993" w:rsidP="00B25525">
      <w:pPr>
        <w:pStyle w:val="PFNumLevel3"/>
        <w:numPr>
          <w:ilvl w:val="0"/>
          <w:numId w:val="0"/>
        </w:numPr>
        <w:tabs>
          <w:tab w:val="clear" w:pos="7394"/>
          <w:tab w:val="clear" w:pos="8318"/>
          <w:tab w:val="clear" w:pos="8930"/>
          <w:tab w:val="left" w:pos="7801"/>
        </w:tabs>
        <w:spacing w:line="240" w:lineRule="auto"/>
        <w:rPr>
          <w:b/>
          <w:sz w:val="24"/>
          <w:szCs w:val="24"/>
        </w:rPr>
      </w:pPr>
      <w:r w:rsidRPr="0086596B">
        <w:rPr>
          <w:b/>
          <w:sz w:val="24"/>
          <w:szCs w:val="24"/>
        </w:rPr>
        <w:t>Australian Haemophilia Centre Directors Organisation (AHCDO)</w:t>
      </w:r>
      <w:r w:rsidR="00B25525">
        <w:rPr>
          <w:b/>
          <w:sz w:val="24"/>
          <w:szCs w:val="24"/>
        </w:rPr>
        <w:tab/>
      </w:r>
    </w:p>
    <w:p w:rsidR="00BB1993" w:rsidRPr="00CE688F" w:rsidRDefault="00CE688F" w:rsidP="00CE688F">
      <w:pPr>
        <w:pStyle w:val="PFNumLevel3"/>
        <w:numPr>
          <w:ilvl w:val="0"/>
          <w:numId w:val="2"/>
        </w:numPr>
        <w:spacing w:line="240" w:lineRule="auto"/>
        <w:rPr>
          <w:rFonts w:cs="Arial"/>
          <w:sz w:val="24"/>
          <w:szCs w:val="24"/>
        </w:rPr>
      </w:pPr>
      <w:r w:rsidRPr="00CE688F">
        <w:rPr>
          <w:rFonts w:cs="Arial"/>
          <w:sz w:val="24"/>
          <w:szCs w:val="24"/>
        </w:rPr>
        <w:t xml:space="preserve">AHCDO </w:t>
      </w:r>
      <w:r w:rsidR="00BB1993" w:rsidRPr="00CE688F">
        <w:rPr>
          <w:rFonts w:cs="Arial"/>
          <w:sz w:val="24"/>
          <w:szCs w:val="24"/>
        </w:rPr>
        <w:t>is a not for profit organisation incorporated in Victoria under the Associations Incorporation Act</w:t>
      </w:r>
      <w:r w:rsidR="00372C0A" w:rsidRPr="00CE688F">
        <w:rPr>
          <w:rFonts w:cs="Arial"/>
          <w:sz w:val="24"/>
          <w:szCs w:val="24"/>
        </w:rPr>
        <w:t xml:space="preserve"> and funded by Government</w:t>
      </w:r>
      <w:r w:rsidR="00933C1C" w:rsidRPr="00CE688F">
        <w:rPr>
          <w:rFonts w:cs="Arial"/>
          <w:sz w:val="24"/>
          <w:szCs w:val="24"/>
        </w:rPr>
        <w:t>s</w:t>
      </w:r>
      <w:r w:rsidR="00372C0A" w:rsidRPr="00CE688F">
        <w:rPr>
          <w:rFonts w:cs="Arial"/>
          <w:sz w:val="24"/>
          <w:szCs w:val="24"/>
        </w:rPr>
        <w:t xml:space="preserve"> through the NBA under a funding </w:t>
      </w:r>
      <w:r w:rsidR="006D3E15">
        <w:rPr>
          <w:rFonts w:cs="Arial"/>
          <w:sz w:val="24"/>
          <w:szCs w:val="24"/>
        </w:rPr>
        <w:t xml:space="preserve">and service </w:t>
      </w:r>
      <w:r w:rsidR="00372C0A" w:rsidRPr="00CE688F">
        <w:rPr>
          <w:rFonts w:cs="Arial"/>
          <w:sz w:val="24"/>
          <w:szCs w:val="24"/>
        </w:rPr>
        <w:t>agreement</w:t>
      </w:r>
      <w:r w:rsidR="001634BC" w:rsidRPr="00CE688F">
        <w:rPr>
          <w:rFonts w:cs="Arial"/>
          <w:sz w:val="24"/>
          <w:szCs w:val="24"/>
        </w:rPr>
        <w:t xml:space="preserve"> (http://ahcdo.org.au/)</w:t>
      </w:r>
      <w:r w:rsidR="00BB1993" w:rsidRPr="00CE688F">
        <w:rPr>
          <w:rFonts w:cs="Arial"/>
          <w:sz w:val="24"/>
          <w:szCs w:val="24"/>
        </w:rPr>
        <w:t>.  Membership consists of the medical directors of HTCs across Australia</w:t>
      </w:r>
      <w:r w:rsidR="001634BC" w:rsidRPr="00CE688F">
        <w:rPr>
          <w:rFonts w:cs="Arial"/>
          <w:sz w:val="24"/>
          <w:szCs w:val="24"/>
        </w:rPr>
        <w:t xml:space="preserve"> and all members are voluntary</w:t>
      </w:r>
      <w:r w:rsidR="00BB1993" w:rsidRPr="00CE688F">
        <w:rPr>
          <w:rFonts w:cs="Arial"/>
          <w:sz w:val="24"/>
          <w:szCs w:val="24"/>
        </w:rPr>
        <w:t xml:space="preserve">.  AHCDO objectives are: </w:t>
      </w:r>
    </w:p>
    <w:p w:rsidR="00BB1993" w:rsidRPr="0086596B" w:rsidRDefault="00BB1993" w:rsidP="00071E56">
      <w:pPr>
        <w:numPr>
          <w:ilvl w:val="1"/>
          <w:numId w:val="2"/>
        </w:numPr>
      </w:pPr>
      <w:r w:rsidRPr="0086596B">
        <w:t xml:space="preserve">to advance care and treatment of people with haemophilia and other bleeding disorders in Australia; </w:t>
      </w:r>
    </w:p>
    <w:p w:rsidR="00BB1993" w:rsidRPr="0086596B" w:rsidRDefault="00BB1993" w:rsidP="00071E56">
      <w:pPr>
        <w:numPr>
          <w:ilvl w:val="1"/>
          <w:numId w:val="2"/>
        </w:numPr>
      </w:pPr>
      <w:r w:rsidRPr="0086596B">
        <w:t>to advance the education of the medical profession and the broad range of health professionals associated with people with haemophilia and other bleeding disorders in the knowledge of haemophilia and other bleeding disorders and their treatment;</w:t>
      </w:r>
    </w:p>
    <w:p w:rsidR="00BB1993" w:rsidRPr="0086596B" w:rsidRDefault="00BB1993" w:rsidP="00071E56">
      <w:pPr>
        <w:numPr>
          <w:ilvl w:val="1"/>
          <w:numId w:val="2"/>
        </w:numPr>
      </w:pPr>
      <w:r w:rsidRPr="0086596B">
        <w:t>to promote haemophilia and other bleeding disorder research, and to disseminate the results of such research; and</w:t>
      </w:r>
    </w:p>
    <w:p w:rsidR="00BB1993" w:rsidRDefault="00BB1993" w:rsidP="00071E56">
      <w:pPr>
        <w:numPr>
          <w:ilvl w:val="1"/>
          <w:numId w:val="2"/>
        </w:numPr>
      </w:pPr>
      <w:proofErr w:type="gramStart"/>
      <w:r w:rsidRPr="0086596B">
        <w:t>to</w:t>
      </w:r>
      <w:proofErr w:type="gramEnd"/>
      <w:r w:rsidRPr="0086596B">
        <w:t xml:space="preserve"> liaise with, and provide information and advice to Haemophilia Foundation Australia, Federal, State and Territory Governments, and other such bodies involved in the welfare of people with haemophilia and other bleeding disorders in Australia.</w:t>
      </w:r>
    </w:p>
    <w:p w:rsidR="00CB1E33" w:rsidRDefault="003D521A" w:rsidP="00CE688F">
      <w:pPr>
        <w:pStyle w:val="PFNumLevel3"/>
        <w:numPr>
          <w:ilvl w:val="0"/>
          <w:numId w:val="2"/>
        </w:numPr>
        <w:spacing w:line="240" w:lineRule="auto"/>
        <w:rPr>
          <w:rFonts w:cs="Arial"/>
          <w:sz w:val="24"/>
          <w:szCs w:val="24"/>
        </w:rPr>
      </w:pPr>
      <w:r w:rsidRPr="00CE688F">
        <w:rPr>
          <w:rFonts w:cs="Arial"/>
          <w:sz w:val="24"/>
          <w:szCs w:val="24"/>
        </w:rPr>
        <w:t>AHCDO</w:t>
      </w:r>
      <w:r w:rsidR="00E7667F" w:rsidRPr="00CE688F">
        <w:rPr>
          <w:rFonts w:cs="Arial"/>
          <w:sz w:val="24"/>
          <w:szCs w:val="24"/>
        </w:rPr>
        <w:t xml:space="preserve"> </w:t>
      </w:r>
      <w:r w:rsidR="00204AF4" w:rsidRPr="00CE688F">
        <w:rPr>
          <w:rFonts w:cs="Arial"/>
          <w:sz w:val="24"/>
          <w:szCs w:val="24"/>
        </w:rPr>
        <w:t xml:space="preserve">is a key member of the Steering Committee on which it represents the views of clinical users of the system.  </w:t>
      </w:r>
      <w:r w:rsidR="00CB1E33">
        <w:rPr>
          <w:rFonts w:cs="Arial"/>
          <w:sz w:val="24"/>
          <w:szCs w:val="24"/>
        </w:rPr>
        <w:t xml:space="preserve">In this role the AHCDO seeks to liaise regularly with all members and bring the views of all staff from within HTC’s to the deliberations of the Steering Committee.  </w:t>
      </w:r>
    </w:p>
    <w:p w:rsidR="003D521A" w:rsidRPr="00CE688F" w:rsidRDefault="00F62E87" w:rsidP="00CE688F">
      <w:pPr>
        <w:pStyle w:val="PFNumLevel3"/>
        <w:numPr>
          <w:ilvl w:val="0"/>
          <w:numId w:val="2"/>
        </w:numPr>
        <w:spacing w:line="240" w:lineRule="auto"/>
        <w:rPr>
          <w:rFonts w:cs="Arial"/>
          <w:sz w:val="24"/>
          <w:szCs w:val="24"/>
        </w:rPr>
      </w:pPr>
      <w:r>
        <w:rPr>
          <w:rFonts w:cs="Arial"/>
          <w:sz w:val="24"/>
          <w:szCs w:val="24"/>
        </w:rPr>
        <w:t>AHCDO</w:t>
      </w:r>
      <w:r w:rsidRPr="00CE688F">
        <w:rPr>
          <w:rFonts w:cs="Arial"/>
          <w:sz w:val="24"/>
          <w:szCs w:val="24"/>
        </w:rPr>
        <w:t xml:space="preserve"> </w:t>
      </w:r>
      <w:r w:rsidR="00204AF4" w:rsidRPr="00CE688F">
        <w:rPr>
          <w:rFonts w:cs="Arial"/>
          <w:sz w:val="24"/>
          <w:szCs w:val="24"/>
        </w:rPr>
        <w:t xml:space="preserve">is also </w:t>
      </w:r>
      <w:r w:rsidR="00E7667F" w:rsidRPr="00CE688F">
        <w:rPr>
          <w:rFonts w:cs="Arial"/>
          <w:sz w:val="24"/>
          <w:szCs w:val="24"/>
        </w:rPr>
        <w:t xml:space="preserve">responsible for implementing a range of management functions for the ABDR in accordance with a </w:t>
      </w:r>
      <w:r w:rsidR="003D521A" w:rsidRPr="00CE688F">
        <w:rPr>
          <w:rFonts w:cs="Arial"/>
          <w:sz w:val="24"/>
          <w:szCs w:val="24"/>
        </w:rPr>
        <w:t>funding agreement with the NBA</w:t>
      </w:r>
      <w:r w:rsidR="00933C1C" w:rsidRPr="00CE688F">
        <w:rPr>
          <w:rFonts w:cs="Arial"/>
          <w:sz w:val="24"/>
          <w:szCs w:val="24"/>
        </w:rPr>
        <w:t xml:space="preserve"> </w:t>
      </w:r>
      <w:r w:rsidR="00E7667F" w:rsidRPr="00CE688F">
        <w:rPr>
          <w:rFonts w:cs="Arial"/>
          <w:sz w:val="24"/>
          <w:szCs w:val="24"/>
        </w:rPr>
        <w:t xml:space="preserve">which </w:t>
      </w:r>
      <w:r w:rsidR="003D521A" w:rsidRPr="00CE688F">
        <w:rPr>
          <w:rFonts w:cs="Arial"/>
          <w:sz w:val="24"/>
          <w:szCs w:val="24"/>
        </w:rPr>
        <w:t>includ</w:t>
      </w:r>
      <w:r w:rsidR="00933C1C" w:rsidRPr="00CE688F">
        <w:rPr>
          <w:rFonts w:cs="Arial"/>
          <w:sz w:val="24"/>
          <w:szCs w:val="24"/>
        </w:rPr>
        <w:t>e</w:t>
      </w:r>
      <w:r w:rsidR="00C27990" w:rsidRPr="00CE688F">
        <w:rPr>
          <w:rFonts w:cs="Arial"/>
          <w:sz w:val="24"/>
          <w:szCs w:val="24"/>
        </w:rPr>
        <w:t xml:space="preserve"> </w:t>
      </w:r>
    </w:p>
    <w:p w:rsidR="003D521A" w:rsidRDefault="003D521A" w:rsidP="00071E56">
      <w:pPr>
        <w:numPr>
          <w:ilvl w:val="1"/>
          <w:numId w:val="2"/>
        </w:numPr>
      </w:pPr>
      <w:r>
        <w:lastRenderedPageBreak/>
        <w:t>participat</w:t>
      </w:r>
      <w:r w:rsidR="00933C1C">
        <w:t>ing</w:t>
      </w:r>
      <w:r>
        <w:t xml:space="preserve"> </w:t>
      </w:r>
      <w:r w:rsidR="00CA5942">
        <w:t>in and chair</w:t>
      </w:r>
      <w:r w:rsidR="00933C1C">
        <w:t>ing</w:t>
      </w:r>
      <w:r w:rsidR="00C27990">
        <w:t xml:space="preserve"> t</w:t>
      </w:r>
      <w:r w:rsidR="00CA5942">
        <w:t>he</w:t>
      </w:r>
      <w:r>
        <w:t xml:space="preserve"> ABDR Steering Committee;</w:t>
      </w:r>
    </w:p>
    <w:p w:rsidR="003D521A" w:rsidRDefault="00E7667F" w:rsidP="00071E56">
      <w:pPr>
        <w:numPr>
          <w:ilvl w:val="1"/>
          <w:numId w:val="2"/>
        </w:numPr>
      </w:pPr>
      <w:r>
        <w:t>management of the</w:t>
      </w:r>
      <w:r w:rsidR="003D521A">
        <w:t xml:space="preserve"> distribution of </w:t>
      </w:r>
      <w:r w:rsidR="00EA6B39">
        <w:t xml:space="preserve">funding for </w:t>
      </w:r>
      <w:r w:rsidR="003D521A">
        <w:t xml:space="preserve">data </w:t>
      </w:r>
      <w:r w:rsidR="00345877">
        <w:t>managers</w:t>
      </w:r>
      <w:r w:rsidR="003D521A">
        <w:t xml:space="preserve"> to HTCs</w:t>
      </w:r>
      <w:r w:rsidR="00A32E95">
        <w:t xml:space="preserve"> and convening and financially supporting the ABDR Data Manager’s Group</w:t>
      </w:r>
      <w:r w:rsidR="003D521A">
        <w:t>;</w:t>
      </w:r>
    </w:p>
    <w:p w:rsidR="003D521A" w:rsidRDefault="003D521A" w:rsidP="00071E56">
      <w:pPr>
        <w:numPr>
          <w:ilvl w:val="1"/>
          <w:numId w:val="2"/>
        </w:numPr>
      </w:pPr>
      <w:r>
        <w:t>facilitat</w:t>
      </w:r>
      <w:r w:rsidR="00E7667F">
        <w:t xml:space="preserve">ion of the </w:t>
      </w:r>
      <w:r>
        <w:t>implementation and ongoing effective operation of ABDR</w:t>
      </w:r>
      <w:r w:rsidR="00A32E95">
        <w:t>, including implementation of the</w:t>
      </w:r>
      <w:r w:rsidR="004A552B">
        <w:t xml:space="preserve"> Privacy Policy and</w:t>
      </w:r>
      <w:r w:rsidR="00A32E95">
        <w:t xml:space="preserve"> Data Standards</w:t>
      </w:r>
      <w:r>
        <w:t>;</w:t>
      </w:r>
    </w:p>
    <w:p w:rsidR="00A32E95" w:rsidRDefault="00A32E95" w:rsidP="00071E56">
      <w:pPr>
        <w:numPr>
          <w:ilvl w:val="1"/>
          <w:numId w:val="2"/>
        </w:numPr>
      </w:pPr>
      <w:r>
        <w:t>liaison with HTC Directors to ensure effective operation of ABDR; and</w:t>
      </w:r>
    </w:p>
    <w:p w:rsidR="003D521A" w:rsidRDefault="003D521A" w:rsidP="00071E56">
      <w:pPr>
        <w:numPr>
          <w:ilvl w:val="1"/>
          <w:numId w:val="2"/>
        </w:numPr>
      </w:pPr>
      <w:proofErr w:type="gramStart"/>
      <w:r>
        <w:t>report</w:t>
      </w:r>
      <w:r w:rsidR="00E7667F">
        <w:t>ing</w:t>
      </w:r>
      <w:proofErr w:type="gramEnd"/>
      <w:r w:rsidR="00E7667F">
        <w:t xml:space="preserve"> on operational issues encountered by staff in the </w:t>
      </w:r>
      <w:r>
        <w:t xml:space="preserve"> operation o</w:t>
      </w:r>
      <w:r w:rsidR="00EA6B39">
        <w:t>f</w:t>
      </w:r>
      <w:r>
        <w:t xml:space="preserve"> ABDR.</w:t>
      </w:r>
    </w:p>
    <w:p w:rsidR="00F62E87" w:rsidRDefault="00F62E87" w:rsidP="00CE688F">
      <w:pPr>
        <w:pStyle w:val="PFNumLevel3"/>
        <w:numPr>
          <w:ilvl w:val="0"/>
          <w:numId w:val="2"/>
        </w:numPr>
        <w:spacing w:line="240" w:lineRule="auto"/>
        <w:rPr>
          <w:rFonts w:cs="Arial"/>
          <w:sz w:val="24"/>
          <w:szCs w:val="24"/>
        </w:rPr>
      </w:pPr>
      <w:r>
        <w:rPr>
          <w:rFonts w:cs="Arial"/>
          <w:sz w:val="24"/>
          <w:szCs w:val="24"/>
        </w:rPr>
        <w:t xml:space="preserve">AHCDO provides coordination and project resources for the process of seeking and maintaining Human Research Ethics Committee approvals as necessary to support data collection into ABDR at individual HTCs. </w:t>
      </w:r>
    </w:p>
    <w:p w:rsidR="003D521A" w:rsidRPr="00CE688F" w:rsidRDefault="003D521A" w:rsidP="00CE688F">
      <w:pPr>
        <w:pStyle w:val="PFNumLevel3"/>
        <w:numPr>
          <w:ilvl w:val="0"/>
          <w:numId w:val="2"/>
        </w:numPr>
        <w:spacing w:line="240" w:lineRule="auto"/>
        <w:rPr>
          <w:rFonts w:cs="Arial"/>
          <w:sz w:val="24"/>
          <w:szCs w:val="24"/>
        </w:rPr>
      </w:pPr>
      <w:r w:rsidRPr="00CE688F">
        <w:rPr>
          <w:rFonts w:cs="Arial"/>
          <w:sz w:val="24"/>
          <w:szCs w:val="24"/>
        </w:rPr>
        <w:t xml:space="preserve">AHCDO is </w:t>
      </w:r>
      <w:r w:rsidR="00CB1E33">
        <w:rPr>
          <w:rFonts w:cs="Arial"/>
          <w:sz w:val="24"/>
          <w:szCs w:val="24"/>
        </w:rPr>
        <w:t xml:space="preserve">a key </w:t>
      </w:r>
      <w:r w:rsidRPr="00CE688F">
        <w:rPr>
          <w:rFonts w:cs="Arial"/>
          <w:sz w:val="24"/>
          <w:szCs w:val="24"/>
        </w:rPr>
        <w:t>user of ABDR for the purpose of generating information and advice in relation to the effective treatment of haemophilia</w:t>
      </w:r>
      <w:r w:rsidR="00CA5942" w:rsidRPr="00CE688F">
        <w:rPr>
          <w:rFonts w:cs="Arial"/>
          <w:sz w:val="24"/>
          <w:szCs w:val="24"/>
        </w:rPr>
        <w:t xml:space="preserve"> and </w:t>
      </w:r>
      <w:r w:rsidR="00A92232">
        <w:rPr>
          <w:rFonts w:cs="Arial"/>
          <w:sz w:val="24"/>
          <w:szCs w:val="24"/>
        </w:rPr>
        <w:t xml:space="preserve">improvement of </w:t>
      </w:r>
      <w:r w:rsidR="00CA5942" w:rsidRPr="00CE688F">
        <w:rPr>
          <w:rFonts w:cs="Arial"/>
          <w:sz w:val="24"/>
          <w:szCs w:val="24"/>
        </w:rPr>
        <w:t>clinical practi</w:t>
      </w:r>
      <w:r w:rsidR="00115EC6" w:rsidRPr="00CE688F">
        <w:rPr>
          <w:rFonts w:cs="Arial"/>
          <w:sz w:val="24"/>
          <w:szCs w:val="24"/>
        </w:rPr>
        <w:t>c</w:t>
      </w:r>
      <w:r w:rsidR="00CA5942" w:rsidRPr="00CE688F">
        <w:rPr>
          <w:rFonts w:cs="Arial"/>
          <w:sz w:val="24"/>
          <w:szCs w:val="24"/>
        </w:rPr>
        <w:t>e.</w:t>
      </w:r>
      <w:r w:rsidR="00CB1E33">
        <w:rPr>
          <w:rFonts w:cs="Arial"/>
          <w:sz w:val="24"/>
          <w:szCs w:val="24"/>
        </w:rPr>
        <w:t xml:space="preserve">  </w:t>
      </w:r>
    </w:p>
    <w:p w:rsidR="006D3E15" w:rsidRPr="00D56E85" w:rsidRDefault="00A32E95" w:rsidP="00CE688F">
      <w:pPr>
        <w:pStyle w:val="PFNumLevel3"/>
        <w:numPr>
          <w:ilvl w:val="0"/>
          <w:numId w:val="2"/>
        </w:numPr>
        <w:spacing w:line="240" w:lineRule="auto"/>
        <w:rPr>
          <w:sz w:val="24"/>
          <w:szCs w:val="24"/>
        </w:rPr>
      </w:pPr>
      <w:r>
        <w:rPr>
          <w:rFonts w:cs="Arial"/>
          <w:sz w:val="24"/>
          <w:szCs w:val="24"/>
        </w:rPr>
        <w:t xml:space="preserve">Under </w:t>
      </w:r>
      <w:r w:rsidR="006D3E15">
        <w:rPr>
          <w:rFonts w:cs="Arial"/>
          <w:sz w:val="24"/>
          <w:szCs w:val="24"/>
        </w:rPr>
        <w:t>the agreement with the NBA, AHCDO maintains subcommittees for specific purposes, each of which relies on the availability of ABDR data for review:</w:t>
      </w:r>
    </w:p>
    <w:p w:rsidR="00BB1993" w:rsidRPr="00FC7A98" w:rsidRDefault="00CE688F" w:rsidP="00071E56">
      <w:pPr>
        <w:numPr>
          <w:ilvl w:val="1"/>
          <w:numId w:val="2"/>
        </w:numPr>
      </w:pPr>
      <w:r w:rsidRPr="00D56E85">
        <w:t>T</w:t>
      </w:r>
      <w:r w:rsidR="00A32E95" w:rsidRPr="00D56E85">
        <w:t xml:space="preserve">he </w:t>
      </w:r>
      <w:proofErr w:type="spellStart"/>
      <w:r w:rsidR="00A32E95" w:rsidRPr="00071E56">
        <w:t>Tolerisation</w:t>
      </w:r>
      <w:proofErr w:type="spellEnd"/>
      <w:r w:rsidR="00A32E95" w:rsidRPr="00071E56">
        <w:t xml:space="preserve"> Advisory Committee (T</w:t>
      </w:r>
      <w:r w:rsidRPr="00071E56">
        <w:t>AC</w:t>
      </w:r>
      <w:r w:rsidR="00A32E95" w:rsidRPr="00071E56">
        <w:t>)</w:t>
      </w:r>
      <w:r w:rsidRPr="00071E56">
        <w:t xml:space="preserve"> </w:t>
      </w:r>
      <w:r w:rsidR="00BB1993" w:rsidRPr="00FC7A98">
        <w:t xml:space="preserve">is a </w:t>
      </w:r>
      <w:r w:rsidR="00A92232" w:rsidRPr="003A4905">
        <w:t>subcommittee</w:t>
      </w:r>
      <w:r w:rsidR="00BB1993" w:rsidRPr="00FC7A98">
        <w:t xml:space="preserve"> of AHCDO established to assess the Immune Tolerance Therapy (ITT) options available to patients across Australia who </w:t>
      </w:r>
      <w:proofErr w:type="gramStart"/>
      <w:r w:rsidR="00BB1993" w:rsidRPr="00FC7A98">
        <w:t>have</w:t>
      </w:r>
      <w:proofErr w:type="gramEnd"/>
      <w:r w:rsidR="00BB1993" w:rsidRPr="00FC7A98">
        <w:t xml:space="preserve"> developed inhibitors to replacement clotting factor product.  Their role is to review diagnosis and pathology information to increase the understanding of how to treat the rare situation of inhibitor development and to minimise the risk to patient health.  New cases are discussed weekly as they arise to manage impact on clotting factor product availability and monitor treatment outcomes.  </w:t>
      </w:r>
      <w:r w:rsidR="00832A3F" w:rsidRPr="00FC7A98">
        <w:t>TAC is responsible for</w:t>
      </w:r>
      <w:r w:rsidRPr="00FC7A98">
        <w:t xml:space="preserve"> </w:t>
      </w:r>
      <w:r w:rsidR="00832A3F" w:rsidRPr="00FC7A98">
        <w:t xml:space="preserve">the provision of information to the NBA on the numbers of patients commencing or ceasing </w:t>
      </w:r>
      <w:proofErr w:type="spellStart"/>
      <w:r w:rsidR="00832A3F" w:rsidRPr="00FC7A98">
        <w:t>tolerisation</w:t>
      </w:r>
      <w:proofErr w:type="spellEnd"/>
      <w:r w:rsidR="00832A3F" w:rsidRPr="00FC7A98">
        <w:t xml:space="preserve"> therapy to inform supply requirements</w:t>
      </w:r>
      <w:r w:rsidRPr="00FC7A98">
        <w:t xml:space="preserve">. </w:t>
      </w:r>
    </w:p>
    <w:p w:rsidR="00B25525" w:rsidRPr="00FC7A98" w:rsidRDefault="00CE688F" w:rsidP="00071E56">
      <w:pPr>
        <w:numPr>
          <w:ilvl w:val="1"/>
          <w:numId w:val="2"/>
        </w:numPr>
      </w:pPr>
      <w:r w:rsidRPr="00FC7A98">
        <w:t xml:space="preserve">The Complex Patient Advisory Group is established to provide </w:t>
      </w:r>
      <w:r w:rsidR="00B25525" w:rsidRPr="00FC7A98">
        <w:t>a regular report on the ongoing and expected high cost patients and the extent to which the treatment regime</w:t>
      </w:r>
      <w:r w:rsidR="00CB1E33" w:rsidRPr="00FC7A98">
        <w:t>n</w:t>
      </w:r>
      <w:r w:rsidR="00B25525" w:rsidRPr="00FC7A98">
        <w:t xml:space="preserve">s are the best possible and an immediate advisory role on newly emerging high cost patients – in effect </w:t>
      </w:r>
      <w:r w:rsidR="00CB1E33" w:rsidRPr="00FC7A98">
        <w:t>ensuring</w:t>
      </w:r>
      <w:r w:rsidR="00B25525" w:rsidRPr="00FC7A98">
        <w:t xml:space="preserve"> that governments have immediate insight on the likely costs of possible alternative treatments</w:t>
      </w:r>
      <w:r w:rsidR="00CB1E33" w:rsidRPr="00FC7A98">
        <w:t xml:space="preserve"> </w:t>
      </w:r>
      <w:r w:rsidR="0081739E" w:rsidRPr="00FC7A98">
        <w:t>based on expert advice.</w:t>
      </w:r>
    </w:p>
    <w:p w:rsidR="00A32E95" w:rsidRPr="00B25525" w:rsidRDefault="00A32E95" w:rsidP="00071E56">
      <w:pPr>
        <w:numPr>
          <w:ilvl w:val="1"/>
          <w:numId w:val="2"/>
        </w:numPr>
      </w:pPr>
      <w:r>
        <w:t>The Fibrinogen Subcommittee is established to overview and report to the NBA on the use of fibrinogen concentrate for congenital fibrinogen by recognised Haemophilia Treatment Centres (HTC), within the management arrangements endorsed by JBC.</w:t>
      </w:r>
    </w:p>
    <w:p w:rsidR="00B25525" w:rsidRDefault="00147542" w:rsidP="00B25525">
      <w:pPr>
        <w:pStyle w:val="PFNumLevel3"/>
        <w:numPr>
          <w:ilvl w:val="0"/>
          <w:numId w:val="0"/>
        </w:numPr>
        <w:tabs>
          <w:tab w:val="clear" w:pos="7394"/>
          <w:tab w:val="clear" w:pos="8318"/>
          <w:tab w:val="clear" w:pos="8930"/>
          <w:tab w:val="left" w:pos="7801"/>
        </w:tabs>
        <w:spacing w:line="240" w:lineRule="auto"/>
        <w:rPr>
          <w:sz w:val="24"/>
          <w:szCs w:val="24"/>
        </w:rPr>
      </w:pPr>
      <w:r w:rsidRPr="0086596B">
        <w:rPr>
          <w:b/>
          <w:sz w:val="24"/>
          <w:szCs w:val="24"/>
        </w:rPr>
        <w:t>Haemophilia Treatment Centres (HTC</w:t>
      </w:r>
      <w:r w:rsidRPr="00CA5942">
        <w:rPr>
          <w:sz w:val="24"/>
          <w:szCs w:val="24"/>
        </w:rPr>
        <w:t xml:space="preserve">) </w:t>
      </w:r>
    </w:p>
    <w:p w:rsidR="004E0122" w:rsidRPr="00B25525" w:rsidRDefault="00B25525" w:rsidP="00071E56">
      <w:pPr>
        <w:numPr>
          <w:ilvl w:val="0"/>
          <w:numId w:val="2"/>
        </w:numPr>
      </w:pPr>
      <w:r w:rsidRPr="00071E56">
        <w:rPr>
          <w:b/>
        </w:rPr>
        <w:t>HTC’s</w:t>
      </w:r>
      <w:r w:rsidRPr="00B25525">
        <w:t xml:space="preserve"> </w:t>
      </w:r>
      <w:r w:rsidR="00147542" w:rsidRPr="00B25525">
        <w:t>are situated within Public Hospital institutions in all states and territories</w:t>
      </w:r>
      <w:r w:rsidR="000B32EE" w:rsidRPr="00B25525">
        <w:t>, and operate within the institutional and governance arrangements for public health services in those jurisdictions</w:t>
      </w:r>
      <w:r w:rsidR="00147542" w:rsidRPr="00B25525">
        <w:t xml:space="preserve">.  </w:t>
      </w:r>
      <w:r w:rsidR="00832A3F" w:rsidRPr="00B25525">
        <w:t xml:space="preserve">Clinical </w:t>
      </w:r>
      <w:proofErr w:type="gramStart"/>
      <w:r w:rsidR="00832A3F" w:rsidRPr="00B25525">
        <w:t>s</w:t>
      </w:r>
      <w:r w:rsidR="00147542" w:rsidRPr="00B25525">
        <w:t xml:space="preserve">taff </w:t>
      </w:r>
      <w:r w:rsidR="00B44F74" w:rsidRPr="00B25525">
        <w:t xml:space="preserve">employed at HTCs </w:t>
      </w:r>
      <w:r w:rsidR="00147542" w:rsidRPr="00B25525">
        <w:t>are</w:t>
      </w:r>
      <w:proofErr w:type="gramEnd"/>
      <w:r w:rsidR="00147542" w:rsidRPr="00B25525">
        <w:t xml:space="preserve"> specialists in the treatment of PWBD in their field of expertise.  PWBD are treated</w:t>
      </w:r>
      <w:r w:rsidR="002472D2" w:rsidRPr="00B25525">
        <w:t xml:space="preserve"> or their treatment is overseen</w:t>
      </w:r>
      <w:r w:rsidR="00147542" w:rsidRPr="00B25525">
        <w:t xml:space="preserve"> at one of the designated HTCs to ensure they receive specialist care and have access to clotting factor products.  </w:t>
      </w:r>
      <w:r w:rsidR="004E0122" w:rsidRPr="00B25525">
        <w:t xml:space="preserve">Staff from </w:t>
      </w:r>
      <w:r w:rsidR="000B32EE" w:rsidRPr="00B25525">
        <w:t>HTC</w:t>
      </w:r>
      <w:r w:rsidR="004E0122" w:rsidRPr="00B25525">
        <w:t>’s are responsible for:</w:t>
      </w:r>
    </w:p>
    <w:p w:rsidR="006D3E15" w:rsidRDefault="006D3E15" w:rsidP="00071E56">
      <w:pPr>
        <w:numPr>
          <w:ilvl w:val="1"/>
          <w:numId w:val="2"/>
        </w:numPr>
      </w:pPr>
      <w:r>
        <w:lastRenderedPageBreak/>
        <w:t>complying with ABDR operating and security requirements;</w:t>
      </w:r>
    </w:p>
    <w:p w:rsidR="006D3E15" w:rsidRDefault="006D3E15" w:rsidP="00071E56">
      <w:pPr>
        <w:numPr>
          <w:ilvl w:val="1"/>
          <w:numId w:val="2"/>
        </w:numPr>
      </w:pPr>
      <w:r>
        <w:t>managing patient privacy and confidentiality requirements as specified in the ABDR Privacy Policy;</w:t>
      </w:r>
    </w:p>
    <w:p w:rsidR="000B32EE" w:rsidRDefault="004E0122" w:rsidP="00071E56">
      <w:pPr>
        <w:numPr>
          <w:ilvl w:val="1"/>
          <w:numId w:val="2"/>
        </w:numPr>
      </w:pPr>
      <w:r>
        <w:t xml:space="preserve">input of data to the ABDR on individual patients </w:t>
      </w:r>
      <w:r w:rsidR="000B32EE">
        <w:t>;</w:t>
      </w:r>
    </w:p>
    <w:p w:rsidR="00A92232" w:rsidRPr="00DD4D3F" w:rsidRDefault="00A92232" w:rsidP="00071E56">
      <w:pPr>
        <w:numPr>
          <w:ilvl w:val="1"/>
          <w:numId w:val="2"/>
        </w:numPr>
      </w:pPr>
      <w:r w:rsidRPr="00DD4D3F">
        <w:t>ensuring the Data Standards are met in relation to data for which the HTC is responsible;</w:t>
      </w:r>
    </w:p>
    <w:p w:rsidR="000B32EE" w:rsidRDefault="004E0122" w:rsidP="00071E56">
      <w:pPr>
        <w:numPr>
          <w:ilvl w:val="1"/>
          <w:numId w:val="2"/>
        </w:numPr>
      </w:pPr>
      <w:r>
        <w:t xml:space="preserve">ordering product </w:t>
      </w:r>
      <w:r w:rsidR="00A92232">
        <w:t xml:space="preserve">utilising </w:t>
      </w:r>
      <w:r>
        <w:t>the ABDR</w:t>
      </w:r>
      <w:r w:rsidR="000B32EE">
        <w:t>;</w:t>
      </w:r>
    </w:p>
    <w:p w:rsidR="000B32EE" w:rsidRDefault="004E0122" w:rsidP="00071E56">
      <w:pPr>
        <w:numPr>
          <w:ilvl w:val="1"/>
          <w:numId w:val="2"/>
        </w:numPr>
      </w:pPr>
      <w:r>
        <w:t>user acceptance testing</w:t>
      </w:r>
      <w:r w:rsidR="000B32EE">
        <w:t>;</w:t>
      </w:r>
    </w:p>
    <w:p w:rsidR="006D3E15" w:rsidRDefault="004E0122" w:rsidP="00071E56">
      <w:pPr>
        <w:numPr>
          <w:ilvl w:val="1"/>
          <w:numId w:val="2"/>
        </w:numPr>
      </w:pPr>
      <w:r>
        <w:t>identifying system operational requirements</w:t>
      </w:r>
      <w:r w:rsidR="006D3E15">
        <w:t>;</w:t>
      </w:r>
    </w:p>
    <w:p w:rsidR="00F62E87" w:rsidRDefault="006D3E15" w:rsidP="00071E56">
      <w:pPr>
        <w:numPr>
          <w:ilvl w:val="1"/>
          <w:numId w:val="2"/>
        </w:numPr>
      </w:pPr>
      <w:r>
        <w:t>complying with the data governance requirements for ABDR in relation to the management and use of ABDR data at the HTC, and data requests received by the HTC</w:t>
      </w:r>
      <w:r w:rsidR="00F62E87">
        <w:t>;</w:t>
      </w:r>
    </w:p>
    <w:p w:rsidR="000B32EE" w:rsidRDefault="00F62E87" w:rsidP="00071E56">
      <w:pPr>
        <w:numPr>
          <w:ilvl w:val="1"/>
          <w:numId w:val="2"/>
        </w:numPr>
      </w:pPr>
      <w:proofErr w:type="gramStart"/>
      <w:r>
        <w:t>complying</w:t>
      </w:r>
      <w:proofErr w:type="gramEnd"/>
      <w:r>
        <w:t xml:space="preserve"> with local or state/territory compliance and policy requirements in relation to the HTC’s participation in ABDR, including obtaining Human Research Ethics Committee approvals as necessary</w:t>
      </w:r>
      <w:r w:rsidR="000B32EE">
        <w:t>.</w:t>
      </w:r>
    </w:p>
    <w:p w:rsidR="006D3E15" w:rsidRPr="001C5048" w:rsidRDefault="006D3E15" w:rsidP="00071E56">
      <w:pPr>
        <w:numPr>
          <w:ilvl w:val="0"/>
          <w:numId w:val="2"/>
        </w:numPr>
      </w:pPr>
      <w:r w:rsidRPr="00071E56">
        <w:rPr>
          <w:b/>
        </w:rPr>
        <w:t>HTC Directors</w:t>
      </w:r>
      <w:r>
        <w:t xml:space="preserve"> undertake a</w:t>
      </w:r>
      <w:r w:rsidR="000B3934">
        <w:t xml:space="preserve"> leadership, oversight and</w:t>
      </w:r>
      <w:r>
        <w:t xml:space="preserve"> management function in relation to </w:t>
      </w:r>
      <w:r w:rsidR="000B3934">
        <w:t xml:space="preserve">the HTC for which they are responsible.  </w:t>
      </w:r>
      <w:r w:rsidR="004E0B23">
        <w:t xml:space="preserve">At the HTC for which they are responsible, </w:t>
      </w:r>
      <w:r w:rsidR="000B3934">
        <w:t xml:space="preserve">the HTC Director is responsible for oversighting the management </w:t>
      </w:r>
      <w:r w:rsidR="004E0B23">
        <w:t xml:space="preserve">and use </w:t>
      </w:r>
      <w:r w:rsidR="000B3934">
        <w:t xml:space="preserve">of ABDR, approving and supervising use of ABDR by </w:t>
      </w:r>
      <w:r w:rsidR="004E0B23">
        <w:t xml:space="preserve">HTC </w:t>
      </w:r>
      <w:r w:rsidR="000B3934">
        <w:t>users</w:t>
      </w:r>
      <w:r w:rsidR="004E0B23">
        <w:t xml:space="preserve">, ensuring the suitability of HTC patients for whom the use of </w:t>
      </w:r>
      <w:proofErr w:type="spellStart"/>
      <w:r w:rsidR="004E0B23">
        <w:t>MyABDR</w:t>
      </w:r>
      <w:proofErr w:type="spellEnd"/>
      <w:r w:rsidR="004E0B23">
        <w:t xml:space="preserve"> is approved</w:t>
      </w:r>
      <w:r w:rsidR="000B3934">
        <w:t xml:space="preserve">, and ensuring that the operating, quality and compliance </w:t>
      </w:r>
      <w:r w:rsidR="00D56E85">
        <w:t>requirements for ABDR under these</w:t>
      </w:r>
      <w:r w:rsidR="000B3934">
        <w:t xml:space="preserve"> </w:t>
      </w:r>
      <w:r w:rsidR="00D56E85">
        <w:t>G</w:t>
      </w:r>
      <w:r w:rsidR="000B3934">
        <w:t xml:space="preserve">overnance </w:t>
      </w:r>
      <w:r w:rsidR="00D56E85">
        <w:t>Arrangements</w:t>
      </w:r>
      <w:r w:rsidR="000B3934">
        <w:t xml:space="preserve"> are met at the HTC, including the Privacy Policy and Data Standards.</w:t>
      </w:r>
    </w:p>
    <w:p w:rsidR="00373B0D" w:rsidRPr="0086596B" w:rsidRDefault="00147542" w:rsidP="00071E56">
      <w:pPr>
        <w:numPr>
          <w:ilvl w:val="0"/>
          <w:numId w:val="2"/>
        </w:numPr>
      </w:pPr>
      <w:r w:rsidRPr="00071E56">
        <w:rPr>
          <w:b/>
        </w:rPr>
        <w:t>Nurses</w:t>
      </w:r>
      <w:r w:rsidRPr="00F96D25">
        <w:t xml:space="preserve"> </w:t>
      </w:r>
      <w:r w:rsidRPr="0086596B">
        <w:t>are represented</w:t>
      </w:r>
      <w:r w:rsidRPr="00F96D25">
        <w:t xml:space="preserve"> </w:t>
      </w:r>
      <w:r w:rsidRPr="0086596B">
        <w:t>collectively by the Australian Haemophilia Nurses Group (</w:t>
      </w:r>
      <w:r w:rsidRPr="00F96D25">
        <w:t>AHNG</w:t>
      </w:r>
      <w:r w:rsidRPr="0086596B">
        <w:t>)</w:t>
      </w:r>
      <w:r w:rsidR="00F96D25">
        <w:t xml:space="preserve"> </w:t>
      </w:r>
      <w:r w:rsidR="00A92232">
        <w:t>supported under the auspices of</w:t>
      </w:r>
      <w:r w:rsidR="0081739E">
        <w:t xml:space="preserve"> </w:t>
      </w:r>
      <w:r w:rsidR="00F96D25">
        <w:t>HFA.  M</w:t>
      </w:r>
      <w:r w:rsidR="00D61E06">
        <w:t>embers of this group are voluntary</w:t>
      </w:r>
      <w:r w:rsidRPr="0086596B">
        <w:t>.  They are employed either full time or part time in each HTC.  They are generally responsible for the day to day operations of HTCs.  Nurses are the key resource in managing patient needs.  Nurses deal with patient contact information includ</w:t>
      </w:r>
      <w:r w:rsidR="0070126B">
        <w:t>ing</w:t>
      </w:r>
      <w:r w:rsidRPr="0086596B">
        <w:t xml:space="preserve"> family members, </w:t>
      </w:r>
      <w:r w:rsidR="00A303D7">
        <w:t xml:space="preserve">which may include </w:t>
      </w:r>
      <w:r w:rsidRPr="0086596B">
        <w:t xml:space="preserve">recording all relevant clinical information required by clinicians, reporting to state health departments, </w:t>
      </w:r>
      <w:r w:rsidR="00A15391">
        <w:t xml:space="preserve">clotting factor </w:t>
      </w:r>
      <w:r w:rsidRPr="0086596B">
        <w:t>product ordering and distribution arrangements and all other HTC activities including correspondence to and education of PWBD</w:t>
      </w:r>
      <w:r w:rsidR="0070126B">
        <w:t>.</w:t>
      </w:r>
      <w:r w:rsidR="0070126B" w:rsidRPr="0086596B" w:rsidDel="0070126B">
        <w:t xml:space="preserve"> </w:t>
      </w:r>
      <w:r w:rsidR="00373B0D">
        <w:t xml:space="preserve"> </w:t>
      </w:r>
    </w:p>
    <w:p w:rsidR="00147542" w:rsidRPr="0086596B" w:rsidRDefault="00147542" w:rsidP="00071E56">
      <w:pPr>
        <w:numPr>
          <w:ilvl w:val="0"/>
          <w:numId w:val="2"/>
        </w:numPr>
      </w:pPr>
      <w:r w:rsidRPr="00071E56">
        <w:rPr>
          <w:b/>
        </w:rPr>
        <w:t>Physiotherapists</w:t>
      </w:r>
      <w:r w:rsidRPr="00071E56">
        <w:t xml:space="preserve"> </w:t>
      </w:r>
      <w:r w:rsidRPr="0086596B">
        <w:t>are represented collectively by the Australian and New Zealand Haemophilia Physiotherapy Group (</w:t>
      </w:r>
      <w:r w:rsidRPr="00071E56">
        <w:t>ANZHPG</w:t>
      </w:r>
      <w:r w:rsidRPr="0086596B">
        <w:t xml:space="preserve">).  They are employed either full time or part time in HTCs.   </w:t>
      </w:r>
      <w:bookmarkStart w:id="14" w:name="OLE_LINK9"/>
      <w:bookmarkStart w:id="15" w:name="OLE_LINK10"/>
      <w:r w:rsidRPr="0086596B">
        <w:t xml:space="preserve">Physiotherapists deal with the treatment </w:t>
      </w:r>
      <w:r w:rsidR="0070126B">
        <w:t xml:space="preserve">for preventive and </w:t>
      </w:r>
      <w:r w:rsidRPr="0086596B">
        <w:t>rehabilitation of joints and muscles</w:t>
      </w:r>
      <w:r w:rsidR="0069558A">
        <w:t xml:space="preserve"> damaged as a result of bleeding disorders</w:t>
      </w:r>
      <w:r w:rsidRPr="0086596B">
        <w:t>.  Physiotherapists require access to patient contact, diagnosis, treatment regime</w:t>
      </w:r>
      <w:r w:rsidR="005F64FB">
        <w:t>n</w:t>
      </w:r>
      <w:r w:rsidRPr="0086596B">
        <w:t xml:space="preserve">, treatment outcome (bleeds and target joints) and other clinical details to inform them of a patient‘s physiotherapy treatment needs.  </w:t>
      </w:r>
      <w:r w:rsidR="00373B0D">
        <w:t xml:space="preserve">Physiotherapists are </w:t>
      </w:r>
      <w:r w:rsidR="005F64FB">
        <w:t xml:space="preserve">responsible for </w:t>
      </w:r>
      <w:r w:rsidRPr="0086596B">
        <w:t>record</w:t>
      </w:r>
      <w:r w:rsidR="005F64FB">
        <w:t>ing</w:t>
      </w:r>
      <w:r w:rsidRPr="0086596B">
        <w:t xml:space="preserve"> physiotherapy specific treatment and treatment outcome details</w:t>
      </w:r>
      <w:r w:rsidR="00373B0D">
        <w:t xml:space="preserve"> in the ABDR</w:t>
      </w:r>
      <w:r w:rsidRPr="0086596B">
        <w:t>.</w:t>
      </w:r>
      <w:bookmarkEnd w:id="14"/>
      <w:bookmarkEnd w:id="15"/>
    </w:p>
    <w:p w:rsidR="00147542" w:rsidRPr="0086596B" w:rsidRDefault="00147542" w:rsidP="00071E56">
      <w:pPr>
        <w:numPr>
          <w:ilvl w:val="0"/>
          <w:numId w:val="2"/>
        </w:numPr>
      </w:pPr>
      <w:r w:rsidRPr="00071E56">
        <w:rPr>
          <w:b/>
        </w:rPr>
        <w:t>Social workers</w:t>
      </w:r>
      <w:r w:rsidRPr="00071E56">
        <w:t xml:space="preserve"> </w:t>
      </w:r>
      <w:r w:rsidRPr="0086596B">
        <w:t>are</w:t>
      </w:r>
      <w:r w:rsidRPr="00071E56">
        <w:t xml:space="preserve"> </w:t>
      </w:r>
      <w:r w:rsidRPr="0086596B">
        <w:t>represented collectively by the Australian and New Zealand Haemophilia Social Workers and Counsellors Group (</w:t>
      </w:r>
      <w:r w:rsidRPr="00071E56">
        <w:t>ANZHSWCG</w:t>
      </w:r>
      <w:r w:rsidRPr="0086596B">
        <w:t xml:space="preserve">).  Social workers are employed either full time or part time in HTCs.  Social workers </w:t>
      </w:r>
      <w:r w:rsidR="0070126B">
        <w:t xml:space="preserve">provide </w:t>
      </w:r>
      <w:r w:rsidRPr="0086596B">
        <w:t xml:space="preserve">psycho-social </w:t>
      </w:r>
      <w:r w:rsidR="0070126B">
        <w:t>counselling and support to</w:t>
      </w:r>
      <w:r w:rsidRPr="0086596B">
        <w:t xml:space="preserve"> people living with bleeding </w:t>
      </w:r>
      <w:r w:rsidRPr="0086596B">
        <w:lastRenderedPageBreak/>
        <w:t>disorders.  They require access to patient contact, diagnosis, treatment regime</w:t>
      </w:r>
      <w:r w:rsidR="005F64FB">
        <w:t>n</w:t>
      </w:r>
      <w:r w:rsidRPr="0086596B">
        <w:t xml:space="preserve">, treatment outcome (bleeds and target joints) and other clinical details to inform them of a patient‘s counselling needs.  </w:t>
      </w:r>
      <w:r w:rsidR="005F64FB">
        <w:t>They are responsible for</w:t>
      </w:r>
      <w:r w:rsidRPr="0086596B">
        <w:t xml:space="preserve"> record</w:t>
      </w:r>
      <w:r w:rsidR="005F64FB">
        <w:t>ing</w:t>
      </w:r>
      <w:r w:rsidRPr="0086596B">
        <w:t xml:space="preserve"> social work specific treatment and treatment outcome details</w:t>
      </w:r>
      <w:r w:rsidR="00373B0D">
        <w:t xml:space="preserve"> in the ABDR</w:t>
      </w:r>
      <w:r w:rsidRPr="0086596B">
        <w:t xml:space="preserve">.  </w:t>
      </w:r>
    </w:p>
    <w:p w:rsidR="00373B0D" w:rsidRDefault="00147542" w:rsidP="00071E56">
      <w:pPr>
        <w:numPr>
          <w:ilvl w:val="0"/>
          <w:numId w:val="2"/>
        </w:numPr>
      </w:pPr>
      <w:r w:rsidRPr="00071E56">
        <w:rPr>
          <w:b/>
        </w:rPr>
        <w:t>ABDR Data Managers</w:t>
      </w:r>
      <w:r w:rsidRPr="00071E56">
        <w:t xml:space="preserve"> (ABDR DM) </w:t>
      </w:r>
      <w:r w:rsidRPr="0086596B">
        <w:t xml:space="preserve">are employed either part time or full time in </w:t>
      </w:r>
      <w:r w:rsidR="009954F7">
        <w:t>all</w:t>
      </w:r>
      <w:r w:rsidRPr="0086596B">
        <w:t xml:space="preserve"> HTCs.  The</w:t>
      </w:r>
      <w:r w:rsidR="00373B0D">
        <w:t>y are responsible for:</w:t>
      </w:r>
    </w:p>
    <w:p w:rsidR="00373B0D" w:rsidRDefault="00147542" w:rsidP="00071E56">
      <w:pPr>
        <w:numPr>
          <w:ilvl w:val="1"/>
          <w:numId w:val="2"/>
        </w:numPr>
      </w:pPr>
      <w:r w:rsidRPr="0086596B">
        <w:t>updat</w:t>
      </w:r>
      <w:r w:rsidR="00373B0D">
        <w:t>ing</w:t>
      </w:r>
      <w:r w:rsidRPr="0086596B">
        <w:t xml:space="preserve"> patient records and maintain</w:t>
      </w:r>
      <w:r w:rsidR="00373B0D">
        <w:t>ing</w:t>
      </w:r>
      <w:r w:rsidRPr="0086596B">
        <w:t xml:space="preserve"> </w:t>
      </w:r>
      <w:r w:rsidR="00A15391">
        <w:t xml:space="preserve">clotting factor </w:t>
      </w:r>
      <w:r w:rsidRPr="0086596B">
        <w:t>product use information on behalf of all HTC staff</w:t>
      </w:r>
      <w:r w:rsidR="004E0B23">
        <w:t>, in accordance with the Data Standards</w:t>
      </w:r>
    </w:p>
    <w:p w:rsidR="00147542" w:rsidRPr="001C5048" w:rsidRDefault="00147542" w:rsidP="00071E56">
      <w:pPr>
        <w:numPr>
          <w:ilvl w:val="1"/>
          <w:numId w:val="2"/>
        </w:numPr>
      </w:pPr>
      <w:proofErr w:type="gramStart"/>
      <w:r w:rsidRPr="00D56E85">
        <w:t>produc</w:t>
      </w:r>
      <w:r w:rsidR="00373B0D" w:rsidRPr="00D56E85">
        <w:t>ing</w:t>
      </w:r>
      <w:proofErr w:type="gramEnd"/>
      <w:r w:rsidRPr="00D56E85">
        <w:t xml:space="preserve"> reports on clinical information and </w:t>
      </w:r>
      <w:r w:rsidR="00A15391" w:rsidRPr="00D56E85">
        <w:t xml:space="preserve">clotting factor </w:t>
      </w:r>
      <w:r w:rsidRPr="00D56E85">
        <w:t>product use statistics as required</w:t>
      </w:r>
      <w:r w:rsidR="00AA1B66" w:rsidRPr="001C5048">
        <w:t>,</w:t>
      </w:r>
      <w:r w:rsidRPr="001C5048">
        <w:t xml:space="preserve"> to </w:t>
      </w:r>
      <w:r w:rsidR="00C27990" w:rsidRPr="001C5048">
        <w:t>a</w:t>
      </w:r>
      <w:r w:rsidRPr="001C5048">
        <w:t>ssist the day to day management of HTCs.  Where data managers are not available, nurses and other staff perform these functions as required.</w:t>
      </w:r>
    </w:p>
    <w:p w:rsidR="00884C99" w:rsidRPr="00071E56" w:rsidRDefault="00CE79A7" w:rsidP="00071E56">
      <w:pPr>
        <w:numPr>
          <w:ilvl w:val="0"/>
          <w:numId w:val="2"/>
        </w:numPr>
      </w:pPr>
      <w:r w:rsidRPr="00071E56">
        <w:rPr>
          <w:b/>
        </w:rPr>
        <w:t>Non</w:t>
      </w:r>
      <w:r w:rsidR="00A92232" w:rsidRPr="00071E56">
        <w:rPr>
          <w:b/>
        </w:rPr>
        <w:t>-</w:t>
      </w:r>
      <w:r w:rsidR="003F196F" w:rsidRPr="00071E56">
        <w:rPr>
          <w:b/>
        </w:rPr>
        <w:t xml:space="preserve">HTC </w:t>
      </w:r>
      <w:r w:rsidRPr="00071E56">
        <w:rPr>
          <w:b/>
        </w:rPr>
        <w:t>Health Services</w:t>
      </w:r>
      <w:r w:rsidRPr="00071E56">
        <w:t xml:space="preserve"> (Private Hospitals </w:t>
      </w:r>
      <w:proofErr w:type="spellStart"/>
      <w:r w:rsidR="003F196F" w:rsidRPr="00071E56">
        <w:t>etc</w:t>
      </w:r>
      <w:proofErr w:type="spellEnd"/>
      <w:r w:rsidRPr="00071E56">
        <w:t>)</w:t>
      </w:r>
      <w:r w:rsidR="003F196F" w:rsidRPr="00071E56">
        <w:t xml:space="preserve"> </w:t>
      </w:r>
      <w:r w:rsidR="00884C99" w:rsidRPr="001C5048">
        <w:t xml:space="preserve">includes private haematologists, other specialists and clinicians working outside of the HTC network treating </w:t>
      </w:r>
      <w:r w:rsidR="00CB061A" w:rsidRPr="001C5048">
        <w:t>PWBD</w:t>
      </w:r>
      <w:r w:rsidR="00884C99" w:rsidRPr="001C5048">
        <w:t xml:space="preserve"> who require replacement therapy with recombinant or plasma derived clotting factor products made available to the health sector though supplier contracts with the NBA</w:t>
      </w:r>
      <w:r w:rsidR="00F96D25" w:rsidRPr="001C5048">
        <w:t xml:space="preserve">.  It is expected that these </w:t>
      </w:r>
      <w:r w:rsidR="0081739E" w:rsidRPr="001C5048">
        <w:t>clinicians</w:t>
      </w:r>
      <w:r w:rsidR="00F96D25" w:rsidRPr="001C5048">
        <w:t xml:space="preserve"> will order product through the HTC’s and seek guidance and advice on patient care from the specialists available through HTC’s</w:t>
      </w:r>
    </w:p>
    <w:p w:rsidR="00DB64C1" w:rsidRDefault="00F94A29" w:rsidP="00071E56">
      <w:pPr>
        <w:numPr>
          <w:ilvl w:val="0"/>
          <w:numId w:val="2"/>
        </w:numPr>
      </w:pPr>
      <w:r w:rsidRPr="00071E56">
        <w:rPr>
          <w:b/>
        </w:rPr>
        <w:t xml:space="preserve">Suppliers and Distributors </w:t>
      </w:r>
      <w:r w:rsidR="00441A04" w:rsidRPr="00071E56">
        <w:rPr>
          <w:b/>
        </w:rPr>
        <w:t>under NBA contracts</w:t>
      </w:r>
      <w:r w:rsidRPr="00F94A29">
        <w:t>.  Each supplier</w:t>
      </w:r>
      <w:r w:rsidR="00441A04">
        <w:t xml:space="preserve"> or distributor</w:t>
      </w:r>
      <w:r w:rsidRPr="00F94A29">
        <w:t xml:space="preserve"> has a contract or series of contracts with the NBA to supply and distribute recombinant and plasma derived clotting factor</w:t>
      </w:r>
      <w:r w:rsidRPr="00071E56">
        <w:t xml:space="preserve"> </w:t>
      </w:r>
      <w:r w:rsidRPr="002049AF">
        <w:t>product to</w:t>
      </w:r>
      <w:r w:rsidRPr="00071E56">
        <w:t xml:space="preserve"> </w:t>
      </w:r>
      <w:r w:rsidRPr="00F94A29">
        <w:t xml:space="preserve">Approved Health Providers (AHP).  </w:t>
      </w:r>
      <w:r w:rsidR="00F96D25">
        <w:t>It is expected that they will work closely with clinicians and other staff with</w:t>
      </w:r>
      <w:r w:rsidR="0081739E">
        <w:t>in</w:t>
      </w:r>
      <w:r w:rsidR="00F96D25">
        <w:t xml:space="preserve"> HTC’s to ensure the availability of product in a timely manner.</w:t>
      </w:r>
    </w:p>
    <w:p w:rsidR="00884C99" w:rsidRDefault="00CE79A7" w:rsidP="00071E56">
      <w:pPr>
        <w:numPr>
          <w:ilvl w:val="0"/>
          <w:numId w:val="2"/>
        </w:numPr>
      </w:pPr>
      <w:r w:rsidRPr="00071E56">
        <w:rPr>
          <w:b/>
        </w:rPr>
        <w:t>P</w:t>
      </w:r>
      <w:r w:rsidR="00517A02" w:rsidRPr="00071E56">
        <w:rPr>
          <w:b/>
        </w:rPr>
        <w:t>eople with Bleeding Disorders</w:t>
      </w:r>
      <w:r w:rsidR="00517A02" w:rsidRPr="00071E56">
        <w:t xml:space="preserve"> (P</w:t>
      </w:r>
      <w:r w:rsidRPr="00071E56">
        <w:t>WBD</w:t>
      </w:r>
      <w:r w:rsidR="00517A02" w:rsidRPr="00071E56">
        <w:t xml:space="preserve">) </w:t>
      </w:r>
      <w:r w:rsidR="00884C99" w:rsidRPr="00884C99">
        <w:t xml:space="preserve">are those diagnosed with one of </w:t>
      </w:r>
      <w:r w:rsidR="0070126B">
        <w:t>many</w:t>
      </w:r>
      <w:r w:rsidR="00884C99" w:rsidRPr="00884C99">
        <w:t xml:space="preserve"> disorders that may require treatment with plasma derived, recombinant or fresh or manufactured blood products managed under supplier contracts with the NBA.  PWBD are represented by the HFA and its state and territory foundations.</w:t>
      </w:r>
      <w:r w:rsidR="00DB64C1">
        <w:t xml:space="preserve">  PWBD are responsible for:</w:t>
      </w:r>
    </w:p>
    <w:p w:rsidR="00DB64C1" w:rsidRDefault="00DB64C1" w:rsidP="00071E56">
      <w:pPr>
        <w:numPr>
          <w:ilvl w:val="1"/>
          <w:numId w:val="2"/>
        </w:numPr>
      </w:pPr>
      <w:r w:rsidRPr="0081739E">
        <w:t>Providing data on product us</w:t>
      </w:r>
      <w:r w:rsidR="00E1638D" w:rsidRPr="0081739E">
        <w:t>age as requested by the HTC</w:t>
      </w:r>
      <w:r w:rsidR="0081739E" w:rsidRPr="0081739E">
        <w:t xml:space="preserve"> in recognition that this allows product to be used </w:t>
      </w:r>
      <w:r w:rsidR="00E1638D" w:rsidRPr="0081739E">
        <w:t xml:space="preserve">carefully and efficiently </w:t>
      </w:r>
      <w:r w:rsidR="0081739E">
        <w:t>and allows clinicians to optimise care</w:t>
      </w:r>
      <w:r w:rsidR="004E0B23">
        <w:t>; and</w:t>
      </w:r>
    </w:p>
    <w:p w:rsidR="004E0B23" w:rsidRPr="0081739E" w:rsidRDefault="004E0B23" w:rsidP="00071E56">
      <w:pPr>
        <w:numPr>
          <w:ilvl w:val="1"/>
          <w:numId w:val="2"/>
        </w:numPr>
      </w:pPr>
      <w:r>
        <w:t xml:space="preserve">Where approved to use </w:t>
      </w:r>
      <w:proofErr w:type="spellStart"/>
      <w:r>
        <w:t>MyABDR</w:t>
      </w:r>
      <w:proofErr w:type="spellEnd"/>
      <w:r>
        <w:t xml:space="preserve"> by their HTC, complying with the user conditions for the use of </w:t>
      </w:r>
      <w:proofErr w:type="spellStart"/>
      <w:r>
        <w:t>MyABDR</w:t>
      </w:r>
      <w:proofErr w:type="spellEnd"/>
      <w:r>
        <w:t>.</w:t>
      </w:r>
    </w:p>
    <w:p w:rsidR="005633C8" w:rsidRPr="00CE79A7" w:rsidRDefault="00543380" w:rsidP="00D65469">
      <w:pPr>
        <w:pStyle w:val="Heading1"/>
        <w:keepNext w:val="0"/>
      </w:pPr>
      <w:bookmarkStart w:id="16" w:name="_Toc255940735"/>
      <w:bookmarkStart w:id="17" w:name="_Toc405296108"/>
      <w:r w:rsidRPr="00CE79A7">
        <w:t>R</w:t>
      </w:r>
      <w:r w:rsidR="009C1CEE">
        <w:t>ELATIONSHIPS</w:t>
      </w:r>
      <w:bookmarkEnd w:id="16"/>
      <w:bookmarkEnd w:id="17"/>
    </w:p>
    <w:p w:rsidR="00BE375B" w:rsidRPr="005633C8" w:rsidRDefault="00543380" w:rsidP="00B22525">
      <w:pPr>
        <w:numPr>
          <w:ilvl w:val="0"/>
          <w:numId w:val="2"/>
        </w:numPr>
        <w:tabs>
          <w:tab w:val="left" w:pos="1935"/>
        </w:tabs>
        <w:rPr>
          <w:rFonts w:cs="Arial"/>
          <w:bCs/>
          <w:iCs/>
        </w:rPr>
      </w:pPr>
      <w:r>
        <w:rPr>
          <w:rFonts w:cs="Arial"/>
          <w:bCs/>
          <w:iCs/>
        </w:rPr>
        <w:t>Stakeholder relationships with the governance and operation</w:t>
      </w:r>
      <w:r w:rsidR="0049580E">
        <w:rPr>
          <w:rFonts w:cs="Arial"/>
          <w:bCs/>
          <w:iCs/>
        </w:rPr>
        <w:t xml:space="preserve"> arrangements</w:t>
      </w:r>
      <w:r>
        <w:rPr>
          <w:rFonts w:cs="Arial"/>
          <w:bCs/>
          <w:iCs/>
        </w:rPr>
        <w:t xml:space="preserve"> of the ABDR are </w:t>
      </w:r>
      <w:r w:rsidR="0049580E">
        <w:rPr>
          <w:rFonts w:cs="Arial"/>
          <w:bCs/>
          <w:iCs/>
        </w:rPr>
        <w:t xml:space="preserve">generally </w:t>
      </w:r>
      <w:r>
        <w:rPr>
          <w:rFonts w:cs="Arial"/>
          <w:bCs/>
          <w:iCs/>
        </w:rPr>
        <w:t>through the relevant member organisation of the ABDR Steering Committee.</w:t>
      </w:r>
      <w:r w:rsidR="009954F7">
        <w:rPr>
          <w:rFonts w:cs="Arial"/>
          <w:bCs/>
          <w:iCs/>
        </w:rPr>
        <w:t xml:space="preserve">  Where a stakeholder is not directly represented on the ABDR Steering Committee their </w:t>
      </w:r>
      <w:r w:rsidR="0049580E">
        <w:rPr>
          <w:rFonts w:cs="Arial"/>
          <w:bCs/>
          <w:iCs/>
        </w:rPr>
        <w:t xml:space="preserve">views will be sought and </w:t>
      </w:r>
      <w:r w:rsidR="009954F7">
        <w:rPr>
          <w:rFonts w:cs="Arial"/>
          <w:bCs/>
          <w:iCs/>
        </w:rPr>
        <w:t xml:space="preserve">interests </w:t>
      </w:r>
      <w:r w:rsidR="0049580E">
        <w:rPr>
          <w:rFonts w:cs="Arial"/>
          <w:bCs/>
          <w:iCs/>
        </w:rPr>
        <w:t>will be considered by the ABDR Steering Committee as appropriate</w:t>
      </w:r>
      <w:r w:rsidR="009954F7">
        <w:rPr>
          <w:rFonts w:cs="Arial"/>
          <w:bCs/>
          <w:iCs/>
        </w:rPr>
        <w:t>.</w:t>
      </w:r>
    </w:p>
    <w:p w:rsidR="00BE375B" w:rsidRPr="003D1379" w:rsidRDefault="00BE375B" w:rsidP="00B51ABC">
      <w:pPr>
        <w:pStyle w:val="Heading1"/>
      </w:pPr>
      <w:bookmarkStart w:id="18" w:name="_Toc255940736"/>
      <w:bookmarkStart w:id="19" w:name="_Toc405296109"/>
      <w:r w:rsidRPr="003D1379">
        <w:lastRenderedPageBreak/>
        <w:t>WORKING ARRANGEMENTS</w:t>
      </w:r>
      <w:bookmarkEnd w:id="18"/>
      <w:bookmarkEnd w:id="19"/>
    </w:p>
    <w:p w:rsidR="00876FC8" w:rsidRPr="00992E94" w:rsidRDefault="00906BC2" w:rsidP="00FC7A98">
      <w:pPr>
        <w:numPr>
          <w:ilvl w:val="0"/>
          <w:numId w:val="2"/>
        </w:numPr>
        <w:rPr>
          <w:rFonts w:cs="Arial"/>
        </w:rPr>
      </w:pPr>
      <w:r w:rsidRPr="00992E94">
        <w:rPr>
          <w:rFonts w:cs="Arial"/>
        </w:rPr>
        <w:t xml:space="preserve">The </w:t>
      </w:r>
      <w:r w:rsidR="00876FC8">
        <w:rPr>
          <w:rFonts w:cs="Arial"/>
        </w:rPr>
        <w:t xml:space="preserve">working arrangements </w:t>
      </w:r>
      <w:r w:rsidR="0081146A">
        <w:rPr>
          <w:rFonts w:cs="Arial"/>
        </w:rPr>
        <w:t>for management and governance of the ABDR on behalf of all stakeholders</w:t>
      </w:r>
      <w:r w:rsidR="0008210A">
        <w:rPr>
          <w:rFonts w:cs="Arial"/>
        </w:rPr>
        <w:t xml:space="preserve"> are primarily administered through the ABDR Steering Committee and the NBA</w:t>
      </w:r>
      <w:r w:rsidRPr="00992E94">
        <w:rPr>
          <w:rFonts w:cs="Arial"/>
        </w:rPr>
        <w:t xml:space="preserve">.  </w:t>
      </w:r>
      <w:r w:rsidR="00461022">
        <w:rPr>
          <w:rFonts w:cs="Arial"/>
        </w:rPr>
        <w:t xml:space="preserve">These are detailed in the Charter at Appendix A. </w:t>
      </w:r>
      <w:r w:rsidR="004E0B23">
        <w:rPr>
          <w:rFonts w:cs="Arial"/>
        </w:rPr>
        <w:t xml:space="preserve"> </w:t>
      </w:r>
    </w:p>
    <w:p w:rsidR="00842C66" w:rsidRDefault="00842C66" w:rsidP="00B22525">
      <w:pPr>
        <w:numPr>
          <w:ilvl w:val="0"/>
          <w:numId w:val="2"/>
        </w:numPr>
        <w:rPr>
          <w:rFonts w:cs="Arial"/>
        </w:rPr>
      </w:pPr>
      <w:r>
        <w:rPr>
          <w:rFonts w:cs="Arial"/>
        </w:rPr>
        <w:t>Aside from formal reporting requirements as outlined in the Charter, t</w:t>
      </w:r>
      <w:r w:rsidR="00876FC8">
        <w:rPr>
          <w:rFonts w:cs="Arial"/>
        </w:rPr>
        <w:t xml:space="preserve">he Chair of the Steering Committee </w:t>
      </w:r>
      <w:r w:rsidR="00DA1228">
        <w:rPr>
          <w:rFonts w:cs="Arial"/>
        </w:rPr>
        <w:t>may</w:t>
      </w:r>
      <w:r w:rsidR="00876FC8">
        <w:rPr>
          <w:rFonts w:cs="Arial"/>
        </w:rPr>
        <w:t xml:space="preserve"> </w:t>
      </w:r>
      <w:r>
        <w:rPr>
          <w:rFonts w:cs="Arial"/>
        </w:rPr>
        <w:t xml:space="preserve">provide informal advice and seek assistance from the NBA General Manager as and when required. The NBA Deputy General Manager on the </w:t>
      </w:r>
      <w:r w:rsidR="00B03E2D">
        <w:rPr>
          <w:rFonts w:cs="Arial"/>
        </w:rPr>
        <w:t xml:space="preserve">Steering </w:t>
      </w:r>
      <w:r>
        <w:rPr>
          <w:rFonts w:cs="Arial"/>
        </w:rPr>
        <w:t xml:space="preserve">Committee is the conduit for the Steering Committee to the NBA for </w:t>
      </w:r>
      <w:r w:rsidR="001B7FFC">
        <w:rPr>
          <w:rFonts w:cs="Arial"/>
        </w:rPr>
        <w:t>operational implementation of Steering Committee outcomes</w:t>
      </w:r>
      <w:r w:rsidR="00441A04">
        <w:rPr>
          <w:rFonts w:cs="Arial"/>
        </w:rPr>
        <w:t xml:space="preserve"> and management of the secretariat</w:t>
      </w:r>
      <w:r w:rsidR="006B4167">
        <w:rPr>
          <w:rFonts w:cs="Arial"/>
        </w:rPr>
        <w:t>.</w:t>
      </w:r>
    </w:p>
    <w:p w:rsidR="006B4167" w:rsidRDefault="006B4167" w:rsidP="00B22525">
      <w:pPr>
        <w:numPr>
          <w:ilvl w:val="0"/>
          <w:numId w:val="2"/>
        </w:numPr>
        <w:rPr>
          <w:rFonts w:cs="Arial"/>
        </w:rPr>
      </w:pPr>
      <w:r>
        <w:rPr>
          <w:rFonts w:cs="Arial"/>
        </w:rPr>
        <w:t xml:space="preserve">The operation of the ABDR is supported by systems support </w:t>
      </w:r>
      <w:r w:rsidR="00D65469">
        <w:rPr>
          <w:rFonts w:cs="Arial"/>
        </w:rPr>
        <w:t xml:space="preserve">and maintenance </w:t>
      </w:r>
      <w:r>
        <w:rPr>
          <w:rFonts w:cs="Arial"/>
        </w:rPr>
        <w:t xml:space="preserve">services provided by </w:t>
      </w:r>
      <w:r w:rsidR="002246D9">
        <w:rPr>
          <w:rFonts w:cs="Arial"/>
        </w:rPr>
        <w:t xml:space="preserve">ICT staff and </w:t>
      </w:r>
      <w:r>
        <w:rPr>
          <w:rFonts w:cs="Arial"/>
        </w:rPr>
        <w:t>contracted provider</w:t>
      </w:r>
      <w:r w:rsidR="002246D9">
        <w:rPr>
          <w:rFonts w:cs="Arial"/>
        </w:rPr>
        <w:t>s</w:t>
      </w:r>
      <w:r w:rsidR="003E0A74">
        <w:rPr>
          <w:rFonts w:cs="Arial"/>
        </w:rPr>
        <w:t xml:space="preserve"> managed by the </w:t>
      </w:r>
      <w:proofErr w:type="gramStart"/>
      <w:r w:rsidR="003E0A74">
        <w:rPr>
          <w:rFonts w:cs="Arial"/>
        </w:rPr>
        <w:t xml:space="preserve">NBA </w:t>
      </w:r>
      <w:r>
        <w:rPr>
          <w:rFonts w:cs="Arial"/>
        </w:rPr>
        <w:t xml:space="preserve"> and</w:t>
      </w:r>
      <w:proofErr w:type="gramEnd"/>
      <w:r>
        <w:rPr>
          <w:rFonts w:cs="Arial"/>
        </w:rPr>
        <w:t xml:space="preserve"> </w:t>
      </w:r>
      <w:r w:rsidR="003E0A74">
        <w:rPr>
          <w:rFonts w:cs="Arial"/>
        </w:rPr>
        <w:t xml:space="preserve">through day to day input and use of the system undertaken by staff contracted by </w:t>
      </w:r>
      <w:r>
        <w:rPr>
          <w:rFonts w:cs="Arial"/>
        </w:rPr>
        <w:t>AHCDO</w:t>
      </w:r>
      <w:r w:rsidR="003E0A74">
        <w:rPr>
          <w:rFonts w:cs="Arial"/>
        </w:rPr>
        <w:t xml:space="preserve"> on behalf of the NBA.</w:t>
      </w:r>
    </w:p>
    <w:p w:rsidR="004E0B23" w:rsidRDefault="004E0B23" w:rsidP="00B22525">
      <w:pPr>
        <w:numPr>
          <w:ilvl w:val="0"/>
          <w:numId w:val="2"/>
        </w:numPr>
        <w:rPr>
          <w:rFonts w:cs="Arial"/>
        </w:rPr>
      </w:pPr>
      <w:r>
        <w:rPr>
          <w:rFonts w:cs="Arial"/>
        </w:rPr>
        <w:t xml:space="preserve">AHCDO has a coordination role between the NBA and ABDR Steering Committee, and HTC Directors, Data Managers and other staff, in accordance with the funding and service agreement with the NBA.  HTC Directors have an important leadership and supervisory role at an HTC level, and HTC Directors, Data Managers and other staff are directly responsible for implementing the requirements of the Governance </w:t>
      </w:r>
      <w:r w:rsidR="00D56E85">
        <w:rPr>
          <w:rFonts w:cs="Arial"/>
        </w:rPr>
        <w:t>Arrangements</w:t>
      </w:r>
      <w:r>
        <w:rPr>
          <w:rFonts w:cs="Arial"/>
        </w:rPr>
        <w:t>, including the Data Standards and Privacy Policy, at a local HTC level.</w:t>
      </w:r>
    </w:p>
    <w:p w:rsidR="005C1973" w:rsidRPr="00DB1CAE" w:rsidRDefault="00E27B70" w:rsidP="00E1638D">
      <w:pPr>
        <w:rPr>
          <w:rFonts w:cs="Arial"/>
          <w:b/>
        </w:rPr>
      </w:pPr>
      <w:r>
        <w:rPr>
          <w:rFonts w:cs="Arial"/>
          <w:b/>
        </w:rPr>
        <w:t xml:space="preserve">GOVERNANCE </w:t>
      </w:r>
      <w:r w:rsidR="005C1973" w:rsidRPr="00DB1CAE">
        <w:rPr>
          <w:rFonts w:cs="Arial"/>
          <w:b/>
        </w:rPr>
        <w:t>REVIEW</w:t>
      </w:r>
      <w:r w:rsidR="00CD42F9">
        <w:rPr>
          <w:rFonts w:cs="Arial"/>
          <w:b/>
        </w:rPr>
        <w:t xml:space="preserve"> MECHANISMS</w:t>
      </w:r>
    </w:p>
    <w:p w:rsidR="005C1973" w:rsidRPr="00142093" w:rsidRDefault="005C1973" w:rsidP="005C1973">
      <w:pPr>
        <w:numPr>
          <w:ilvl w:val="0"/>
          <w:numId w:val="2"/>
        </w:numPr>
        <w:rPr>
          <w:rFonts w:cs="Arial"/>
        </w:rPr>
      </w:pPr>
      <w:r w:rsidRPr="00DB1CAE">
        <w:t>To ensure the continued relevance and performance of the system and to ensure that all stakeholders continue to have the opportunity to influence the development and use of the system, regular review of the overall system and its governance will be undertaken</w:t>
      </w:r>
      <w:r w:rsidR="00E27B70">
        <w:t xml:space="preserve"> including in the areas detailed below</w:t>
      </w:r>
      <w:r w:rsidR="00523388">
        <w:t>.</w:t>
      </w:r>
    </w:p>
    <w:p w:rsidR="00FE2A94" w:rsidRPr="00FC7A98" w:rsidRDefault="00142093" w:rsidP="00FC7A98">
      <w:pPr>
        <w:rPr>
          <w:b/>
        </w:rPr>
      </w:pPr>
      <w:r w:rsidRPr="00FC7A98">
        <w:rPr>
          <w:b/>
        </w:rPr>
        <w:t xml:space="preserve">Review of </w:t>
      </w:r>
      <w:r w:rsidR="004A5BE5">
        <w:rPr>
          <w:rFonts w:cs="Arial"/>
          <w:b/>
        </w:rPr>
        <w:t>p</w:t>
      </w:r>
      <w:r w:rsidR="00FE2A94" w:rsidRPr="001C5048">
        <w:rPr>
          <w:rFonts w:cs="Arial"/>
          <w:b/>
        </w:rPr>
        <w:t>lanning</w:t>
      </w:r>
      <w:r w:rsidR="00FE2A94" w:rsidRPr="00FC7A98">
        <w:rPr>
          <w:b/>
        </w:rPr>
        <w:t>, development</w:t>
      </w:r>
      <w:r w:rsidR="00D65469" w:rsidRPr="00FC7A98">
        <w:rPr>
          <w:b/>
        </w:rPr>
        <w:t xml:space="preserve"> and implementation</w:t>
      </w:r>
    </w:p>
    <w:p w:rsidR="00F81C9E" w:rsidRPr="00E9601E" w:rsidRDefault="00FE2A94" w:rsidP="00F81C9E">
      <w:pPr>
        <w:numPr>
          <w:ilvl w:val="0"/>
          <w:numId w:val="2"/>
        </w:numPr>
        <w:rPr>
          <w:rFonts w:cs="Arial"/>
        </w:rPr>
      </w:pPr>
      <w:r w:rsidRPr="00E9601E">
        <w:rPr>
          <w:rFonts w:cs="Arial"/>
        </w:rPr>
        <w:t xml:space="preserve">Planning and development for the ABDR is closely related to, and is informed by, performance management outlined below.  </w:t>
      </w:r>
      <w:r w:rsidR="00F81C9E" w:rsidRPr="00E9601E">
        <w:rPr>
          <w:rFonts w:cs="Arial"/>
        </w:rPr>
        <w:t>Planning and development is a critical component of managing the ABDR to ensure users continue to utilise the solution as a valuable and efficient tool in their day to day management of PWBD.  This approach guarantees quality of data to meet government budgeting and planning needs.</w:t>
      </w:r>
    </w:p>
    <w:p w:rsidR="00FE2A94" w:rsidRPr="00E9601E" w:rsidRDefault="00FE2A94" w:rsidP="00B22525">
      <w:pPr>
        <w:numPr>
          <w:ilvl w:val="0"/>
          <w:numId w:val="2"/>
        </w:numPr>
        <w:rPr>
          <w:rFonts w:cs="Arial"/>
        </w:rPr>
      </w:pPr>
      <w:r w:rsidRPr="00E9601E">
        <w:rPr>
          <w:rFonts w:cs="Arial"/>
        </w:rPr>
        <w:t xml:space="preserve">The </w:t>
      </w:r>
      <w:r w:rsidR="00CF399E">
        <w:rPr>
          <w:rFonts w:cs="Arial"/>
        </w:rPr>
        <w:t xml:space="preserve">NBA will present an annual review of the </w:t>
      </w:r>
      <w:r w:rsidRPr="00E9601E">
        <w:rPr>
          <w:rFonts w:cs="Arial"/>
        </w:rPr>
        <w:t xml:space="preserve">ABDR in respect of design, functionality and performance, to identify required system or supporting business process enhancements. This </w:t>
      </w:r>
      <w:r w:rsidR="00CF399E">
        <w:rPr>
          <w:rFonts w:cs="Arial"/>
        </w:rPr>
        <w:t>will</w:t>
      </w:r>
      <w:r w:rsidR="00F47268">
        <w:rPr>
          <w:rFonts w:cs="Arial"/>
        </w:rPr>
        <w:t xml:space="preserve"> </w:t>
      </w:r>
      <w:r w:rsidRPr="00E9601E">
        <w:rPr>
          <w:rFonts w:cs="Arial"/>
        </w:rPr>
        <w:t>include:</w:t>
      </w:r>
    </w:p>
    <w:p w:rsidR="00FE2A94" w:rsidRPr="00FC7A98" w:rsidRDefault="00FE2A94" w:rsidP="00D56E85">
      <w:pPr>
        <w:pStyle w:val="Bullet"/>
        <w:numPr>
          <w:ilvl w:val="1"/>
          <w:numId w:val="2"/>
        </w:numPr>
        <w:rPr>
          <w:i w:val="0"/>
        </w:rPr>
      </w:pPr>
      <w:r w:rsidRPr="00FC7A98">
        <w:rPr>
          <w:i w:val="0"/>
        </w:rPr>
        <w:t>a process of consultation with stakeholders to obtain their input of desired enhancements;</w:t>
      </w:r>
    </w:p>
    <w:p w:rsidR="00FE2A94" w:rsidRPr="00FC7A98" w:rsidRDefault="00FE2A94" w:rsidP="00D56E85">
      <w:pPr>
        <w:pStyle w:val="Bullet"/>
        <w:numPr>
          <w:ilvl w:val="1"/>
          <w:numId w:val="2"/>
        </w:numPr>
        <w:rPr>
          <w:i w:val="0"/>
        </w:rPr>
      </w:pPr>
      <w:r w:rsidRPr="00FC7A98">
        <w:rPr>
          <w:i w:val="0"/>
        </w:rPr>
        <w:t xml:space="preserve">review of performance and areas requiring improvement; </w:t>
      </w:r>
    </w:p>
    <w:p w:rsidR="00FE2A94" w:rsidRPr="00FC7A98" w:rsidRDefault="00FE2A94" w:rsidP="001C5048">
      <w:pPr>
        <w:pStyle w:val="Bullet"/>
        <w:numPr>
          <w:ilvl w:val="1"/>
          <w:numId w:val="2"/>
        </w:numPr>
        <w:rPr>
          <w:i w:val="0"/>
        </w:rPr>
      </w:pPr>
      <w:r w:rsidRPr="00FC7A98">
        <w:rPr>
          <w:i w:val="0"/>
        </w:rPr>
        <w:t>review of international trends to anticipate future system improvements;</w:t>
      </w:r>
    </w:p>
    <w:p w:rsidR="00FE2A94" w:rsidRPr="00FC7A98" w:rsidRDefault="00FE2A94" w:rsidP="001C5048">
      <w:pPr>
        <w:pStyle w:val="Bullet"/>
        <w:numPr>
          <w:ilvl w:val="1"/>
          <w:numId w:val="2"/>
        </w:numPr>
        <w:rPr>
          <w:i w:val="0"/>
        </w:rPr>
      </w:pPr>
      <w:proofErr w:type="gramStart"/>
      <w:r w:rsidRPr="00FC7A98">
        <w:rPr>
          <w:i w:val="0"/>
        </w:rPr>
        <w:t>consultation</w:t>
      </w:r>
      <w:proofErr w:type="gramEnd"/>
      <w:r w:rsidRPr="00FC7A98">
        <w:rPr>
          <w:i w:val="0"/>
        </w:rPr>
        <w:t xml:space="preserve"> to identify options to implement proposed enhancements, including required funding and  timelines.</w:t>
      </w:r>
    </w:p>
    <w:p w:rsidR="00523388" w:rsidRDefault="00523388" w:rsidP="001C5048">
      <w:pPr>
        <w:keepNext/>
        <w:rPr>
          <w:rFonts w:cs="Arial"/>
          <w:b/>
        </w:rPr>
      </w:pPr>
      <w:r>
        <w:rPr>
          <w:rFonts w:cs="Arial"/>
          <w:b/>
        </w:rPr>
        <w:lastRenderedPageBreak/>
        <w:t>Review of data integrity</w:t>
      </w:r>
    </w:p>
    <w:p w:rsidR="00523388" w:rsidRPr="001C5048" w:rsidRDefault="00523388" w:rsidP="001C5048">
      <w:pPr>
        <w:pStyle w:val="Bullet"/>
        <w:numPr>
          <w:ilvl w:val="0"/>
          <w:numId w:val="2"/>
        </w:numPr>
        <w:rPr>
          <w:i w:val="0"/>
        </w:rPr>
      </w:pPr>
      <w:r>
        <w:rPr>
          <w:i w:val="0"/>
        </w:rPr>
        <w:t xml:space="preserve">The NBA Data Standards define the </w:t>
      </w:r>
      <w:r w:rsidR="00A01365">
        <w:rPr>
          <w:i w:val="0"/>
        </w:rPr>
        <w:t>requirements for data integrity for ABDR, including specified processes for reporting, analysis and improvement of data integrity against the specified Data Standards.</w:t>
      </w:r>
    </w:p>
    <w:p w:rsidR="00FE2A94" w:rsidRPr="00FC7A98" w:rsidRDefault="00142093" w:rsidP="00FC7A98">
      <w:pPr>
        <w:keepNext/>
        <w:rPr>
          <w:b/>
        </w:rPr>
      </w:pPr>
      <w:r w:rsidRPr="00FC7A98">
        <w:rPr>
          <w:b/>
        </w:rPr>
        <w:t xml:space="preserve">Review of </w:t>
      </w:r>
      <w:r w:rsidR="00D43BBC" w:rsidRPr="00FC7A98">
        <w:rPr>
          <w:b/>
        </w:rPr>
        <w:t>compliance</w:t>
      </w:r>
      <w:r w:rsidR="00FE2A94" w:rsidRPr="00FC7A98">
        <w:rPr>
          <w:b/>
        </w:rPr>
        <w:t xml:space="preserve"> </w:t>
      </w:r>
    </w:p>
    <w:p w:rsidR="00D43BBC" w:rsidRPr="00FC7A98" w:rsidRDefault="00C02CD8" w:rsidP="001C5048">
      <w:pPr>
        <w:pStyle w:val="Bullet"/>
        <w:numPr>
          <w:ilvl w:val="0"/>
          <w:numId w:val="2"/>
        </w:numPr>
        <w:rPr>
          <w:i w:val="0"/>
        </w:rPr>
      </w:pPr>
      <w:r w:rsidRPr="00FC7A98">
        <w:rPr>
          <w:i w:val="0"/>
        </w:rPr>
        <w:t xml:space="preserve">The governance arrangements detailed in this document are important in ensuring the expectations of all stakeholders are met. </w:t>
      </w:r>
      <w:r w:rsidR="00142093" w:rsidRPr="00FC7A98">
        <w:rPr>
          <w:i w:val="0"/>
        </w:rPr>
        <w:t xml:space="preserve">Annual reviews of </w:t>
      </w:r>
      <w:r w:rsidR="00D43BBC" w:rsidRPr="00FC7A98">
        <w:rPr>
          <w:i w:val="0"/>
        </w:rPr>
        <w:t>compliance</w:t>
      </w:r>
      <w:r w:rsidR="003A4905" w:rsidRPr="00FC7A98">
        <w:rPr>
          <w:i w:val="0"/>
        </w:rPr>
        <w:t xml:space="preserve"> </w:t>
      </w:r>
      <w:r w:rsidR="00F77376" w:rsidRPr="00FC7A98">
        <w:rPr>
          <w:i w:val="0"/>
        </w:rPr>
        <w:t>will be undertaken</w:t>
      </w:r>
      <w:r w:rsidR="00142093" w:rsidRPr="00FC7A98">
        <w:rPr>
          <w:i w:val="0"/>
        </w:rPr>
        <w:t>, including:</w:t>
      </w:r>
      <w:r w:rsidR="00FE2A94" w:rsidRPr="00FC7A98">
        <w:rPr>
          <w:i w:val="0"/>
        </w:rPr>
        <w:t xml:space="preserve"> </w:t>
      </w:r>
    </w:p>
    <w:p w:rsidR="00523388" w:rsidRPr="00071E56" w:rsidRDefault="00523388" w:rsidP="00071E56">
      <w:pPr>
        <w:numPr>
          <w:ilvl w:val="1"/>
          <w:numId w:val="2"/>
        </w:numPr>
      </w:pPr>
      <w:r w:rsidRPr="00071E56">
        <w:t xml:space="preserve">NBA personnel </w:t>
      </w:r>
      <w:r w:rsidR="00FE2A94" w:rsidRPr="00071E56">
        <w:t>and user compliance with the administration of system access</w:t>
      </w:r>
      <w:r w:rsidRPr="00071E56">
        <w:t xml:space="preserve"> and security requirements;</w:t>
      </w:r>
    </w:p>
    <w:p w:rsidR="00FE2A94" w:rsidRPr="00071E56" w:rsidRDefault="00523388" w:rsidP="00071E56">
      <w:pPr>
        <w:numPr>
          <w:ilvl w:val="1"/>
          <w:numId w:val="2"/>
        </w:numPr>
      </w:pPr>
      <w:r w:rsidRPr="00071E56">
        <w:t>Compliance with the ABDR Privacy Policy</w:t>
      </w:r>
    </w:p>
    <w:p w:rsidR="00FE2A94" w:rsidRPr="00071E56" w:rsidRDefault="00FE2A94" w:rsidP="00071E56">
      <w:pPr>
        <w:numPr>
          <w:ilvl w:val="1"/>
          <w:numId w:val="2"/>
        </w:numPr>
      </w:pPr>
      <w:r w:rsidRPr="00071E56">
        <w:t>Compliance with defined processes for access to, and publication of, ABDR data</w:t>
      </w:r>
      <w:r w:rsidR="00523388" w:rsidRPr="00071E56">
        <w:t xml:space="preserve"> in the NBA Data Governance Framework.</w:t>
      </w:r>
    </w:p>
    <w:p w:rsidR="00C02CD8" w:rsidRPr="00DB1CAE" w:rsidRDefault="00142093" w:rsidP="00E1638D">
      <w:pPr>
        <w:rPr>
          <w:rFonts w:cs="Arial"/>
          <w:b/>
        </w:rPr>
      </w:pPr>
      <w:r>
        <w:rPr>
          <w:rFonts w:cs="Arial"/>
          <w:b/>
        </w:rPr>
        <w:t xml:space="preserve">Review of </w:t>
      </w:r>
      <w:r w:rsidR="004A5BE5">
        <w:rPr>
          <w:rFonts w:cs="Arial"/>
          <w:b/>
        </w:rPr>
        <w:t>s</w:t>
      </w:r>
      <w:r>
        <w:rPr>
          <w:rFonts w:cs="Arial"/>
          <w:b/>
        </w:rPr>
        <w:t>y</w:t>
      </w:r>
      <w:r w:rsidR="00C02CD8" w:rsidRPr="00DB1CAE">
        <w:rPr>
          <w:rFonts w:cs="Arial"/>
          <w:b/>
        </w:rPr>
        <w:t xml:space="preserve">stem </w:t>
      </w:r>
      <w:r w:rsidR="004A5BE5">
        <w:rPr>
          <w:rFonts w:cs="Arial"/>
          <w:b/>
        </w:rPr>
        <w:t>p</w:t>
      </w:r>
      <w:r w:rsidR="00C02CD8" w:rsidRPr="00DB1CAE">
        <w:rPr>
          <w:rFonts w:cs="Arial"/>
          <w:b/>
        </w:rPr>
        <w:t>erformance</w:t>
      </w:r>
    </w:p>
    <w:p w:rsidR="00FE2A94" w:rsidRPr="005B619F" w:rsidRDefault="00F81C9E" w:rsidP="005B619F">
      <w:pPr>
        <w:numPr>
          <w:ilvl w:val="0"/>
          <w:numId w:val="2"/>
        </w:numPr>
        <w:ind w:left="0" w:firstLine="0"/>
        <w:rPr>
          <w:rFonts w:cs="Arial"/>
        </w:rPr>
      </w:pPr>
      <w:r>
        <w:rPr>
          <w:rFonts w:cs="Arial"/>
        </w:rPr>
        <w:t xml:space="preserve">The NBA responsible for the regular monitoring of system performance against the agreed </w:t>
      </w:r>
      <w:r w:rsidR="002246D9">
        <w:rPr>
          <w:rFonts w:cs="Arial"/>
        </w:rPr>
        <w:t xml:space="preserve">operating </w:t>
      </w:r>
      <w:r>
        <w:rPr>
          <w:rFonts w:cs="Arial"/>
        </w:rPr>
        <w:t xml:space="preserve">specifications.  Inadequate performance will be brought to the attention of the Steering Committee and options for rectification presented for final decision.  </w:t>
      </w:r>
      <w:r w:rsidR="00FE2A94" w:rsidRPr="005B619F">
        <w:rPr>
          <w:rFonts w:cs="Arial"/>
        </w:rPr>
        <w:t>Specific areas of performance to be reviewed at least annually include:</w:t>
      </w:r>
    </w:p>
    <w:p w:rsidR="00FE2A94" w:rsidRPr="00071E56" w:rsidRDefault="00FE2A94" w:rsidP="00071E56">
      <w:pPr>
        <w:numPr>
          <w:ilvl w:val="1"/>
          <w:numId w:val="2"/>
        </w:numPr>
      </w:pPr>
      <w:r w:rsidRPr="00071E56">
        <w:t>System availability;</w:t>
      </w:r>
    </w:p>
    <w:p w:rsidR="00B22525" w:rsidRPr="00071E56" w:rsidRDefault="00B22525" w:rsidP="00071E56">
      <w:pPr>
        <w:numPr>
          <w:ilvl w:val="1"/>
          <w:numId w:val="2"/>
        </w:numPr>
      </w:pPr>
      <w:r w:rsidRPr="00071E56">
        <w:t xml:space="preserve">System useability; </w:t>
      </w:r>
    </w:p>
    <w:p w:rsidR="00F81C9E" w:rsidRPr="00071E56" w:rsidRDefault="00F81C9E" w:rsidP="00071E56">
      <w:pPr>
        <w:numPr>
          <w:ilvl w:val="1"/>
          <w:numId w:val="2"/>
        </w:numPr>
      </w:pPr>
      <w:r w:rsidRPr="00071E56">
        <w:t>Stakeholder satisfaction; and</w:t>
      </w:r>
    </w:p>
    <w:p w:rsidR="00B22525" w:rsidRPr="00071E56" w:rsidRDefault="00B22525" w:rsidP="00071E56">
      <w:pPr>
        <w:numPr>
          <w:ilvl w:val="1"/>
          <w:numId w:val="2"/>
        </w:numPr>
      </w:pPr>
      <w:r w:rsidRPr="00071E56">
        <w:t>Help desk logs to identify useability issues.</w:t>
      </w:r>
    </w:p>
    <w:p w:rsidR="00B22525" w:rsidRPr="00D56E85" w:rsidRDefault="00B22525" w:rsidP="00B22525">
      <w:pPr>
        <w:numPr>
          <w:ilvl w:val="0"/>
          <w:numId w:val="2"/>
        </w:numPr>
        <w:ind w:left="0" w:firstLine="0"/>
        <w:rPr>
          <w:rFonts w:cs="Arial"/>
        </w:rPr>
      </w:pPr>
      <w:r w:rsidRPr="00D56E85">
        <w:rPr>
          <w:rFonts w:cs="Arial"/>
        </w:rPr>
        <w:t>Specific areas of performance to be reviewed every two years include:</w:t>
      </w:r>
    </w:p>
    <w:p w:rsidR="00FE2A94" w:rsidRPr="00071E56" w:rsidRDefault="00FE2A94" w:rsidP="00071E56">
      <w:pPr>
        <w:numPr>
          <w:ilvl w:val="1"/>
          <w:numId w:val="2"/>
        </w:numPr>
      </w:pPr>
      <w:r w:rsidRPr="00071E56">
        <w:t xml:space="preserve">Data search and report functionality.  </w:t>
      </w:r>
    </w:p>
    <w:p w:rsidR="00FE2A94" w:rsidRPr="002030F3" w:rsidRDefault="00142093" w:rsidP="00FE2A94">
      <w:pPr>
        <w:ind w:left="720" w:hanging="720"/>
        <w:rPr>
          <w:rFonts w:cs="Arial"/>
          <w:b/>
          <w:bCs/>
          <w:iCs/>
        </w:rPr>
      </w:pPr>
      <w:r>
        <w:rPr>
          <w:rFonts w:cs="Arial"/>
          <w:b/>
          <w:bCs/>
          <w:iCs/>
        </w:rPr>
        <w:t xml:space="preserve">Review of </w:t>
      </w:r>
      <w:r w:rsidR="00FE2A94">
        <w:rPr>
          <w:rFonts w:cs="Arial"/>
          <w:b/>
          <w:bCs/>
          <w:iCs/>
        </w:rPr>
        <w:t>r</w:t>
      </w:r>
      <w:r w:rsidR="00FE2A94" w:rsidRPr="002030F3">
        <w:rPr>
          <w:rFonts w:cs="Arial"/>
          <w:b/>
          <w:bCs/>
          <w:iCs/>
        </w:rPr>
        <w:t>isk</w:t>
      </w:r>
      <w:r>
        <w:rPr>
          <w:rFonts w:cs="Arial"/>
          <w:b/>
          <w:bCs/>
          <w:iCs/>
        </w:rPr>
        <w:t xml:space="preserve"> identification and management </w:t>
      </w:r>
    </w:p>
    <w:p w:rsidR="006D2871" w:rsidRPr="00FE2A94" w:rsidRDefault="00F81C9E" w:rsidP="00B22525">
      <w:pPr>
        <w:numPr>
          <w:ilvl w:val="0"/>
          <w:numId w:val="2"/>
        </w:numPr>
        <w:rPr>
          <w:rFonts w:cs="Arial"/>
        </w:rPr>
      </w:pPr>
      <w:r>
        <w:rPr>
          <w:rFonts w:cs="Arial"/>
        </w:rPr>
        <w:t xml:space="preserve"> The management of the system will be</w:t>
      </w:r>
      <w:r w:rsidR="00142093">
        <w:rPr>
          <w:rFonts w:cs="Arial"/>
        </w:rPr>
        <w:t xml:space="preserve"> informed by a </w:t>
      </w:r>
      <w:r w:rsidR="006D2871" w:rsidRPr="001D2413">
        <w:rPr>
          <w:rFonts w:cs="Arial"/>
        </w:rPr>
        <w:t>comprehensive risk management framework, and associated procedures for effective identification and management of the legislative compliance and business risks in the operation of the ABDR, including management of data access</w:t>
      </w:r>
      <w:r w:rsidR="008640AD">
        <w:rPr>
          <w:rFonts w:cs="Arial"/>
        </w:rPr>
        <w:t>,</w:t>
      </w:r>
      <w:r w:rsidR="006D2871" w:rsidRPr="001D2413">
        <w:rPr>
          <w:rFonts w:cs="Arial"/>
        </w:rPr>
        <w:t xml:space="preserve"> </w:t>
      </w:r>
      <w:r w:rsidR="008640AD">
        <w:rPr>
          <w:rFonts w:cs="Arial"/>
        </w:rPr>
        <w:t xml:space="preserve">system </w:t>
      </w:r>
      <w:r w:rsidR="006D2871" w:rsidRPr="001D2413">
        <w:rPr>
          <w:rFonts w:cs="Arial"/>
        </w:rPr>
        <w:t>security and privacy provisions</w:t>
      </w:r>
      <w:r w:rsidR="006D2871">
        <w:rPr>
          <w:rFonts w:cs="Arial"/>
        </w:rPr>
        <w:t>.</w:t>
      </w:r>
      <w:r w:rsidR="00CD42F9">
        <w:rPr>
          <w:rFonts w:cs="Arial"/>
        </w:rPr>
        <w:t xml:space="preserve">  </w:t>
      </w:r>
      <w:r w:rsidR="006D2871">
        <w:rPr>
          <w:rFonts w:cs="Arial"/>
        </w:rPr>
        <w:t xml:space="preserve">The framework </w:t>
      </w:r>
      <w:r w:rsidR="00142093">
        <w:rPr>
          <w:rFonts w:cs="Arial"/>
        </w:rPr>
        <w:t xml:space="preserve">will </w:t>
      </w:r>
      <w:r w:rsidR="006D2871">
        <w:rPr>
          <w:rFonts w:cs="Arial"/>
        </w:rPr>
        <w:t>be</w:t>
      </w:r>
      <w:r w:rsidR="006D2871" w:rsidRPr="00FE2A94">
        <w:rPr>
          <w:rFonts w:cs="Arial"/>
        </w:rPr>
        <w:t xml:space="preserve"> consistent with the Australian New Zealand Risk Management Standard and the Australian Government’s risk management guidelines</w:t>
      </w:r>
      <w:r w:rsidR="00142093">
        <w:rPr>
          <w:rFonts w:cs="Arial"/>
        </w:rPr>
        <w:t xml:space="preserve">. </w:t>
      </w:r>
      <w:r w:rsidR="00CD42F9">
        <w:rPr>
          <w:rFonts w:cs="Arial"/>
        </w:rPr>
        <w:t xml:space="preserve">The current ABDR Risk Management Plan is at </w:t>
      </w:r>
      <w:r w:rsidR="000F6E3E">
        <w:rPr>
          <w:rFonts w:cs="Arial"/>
        </w:rPr>
        <w:t>Appendix 2 Annex B</w:t>
      </w:r>
      <w:r w:rsidR="00CD42F9">
        <w:rPr>
          <w:rFonts w:cs="Arial"/>
        </w:rPr>
        <w:t>.</w:t>
      </w:r>
      <w:r w:rsidR="00142093">
        <w:rPr>
          <w:rFonts w:cs="Arial"/>
        </w:rPr>
        <w:t xml:space="preserve"> The annual review </w:t>
      </w:r>
      <w:r w:rsidR="00CD42F9">
        <w:rPr>
          <w:rFonts w:cs="Arial"/>
        </w:rPr>
        <w:t xml:space="preserve">of this Plan </w:t>
      </w:r>
      <w:r w:rsidR="00142093">
        <w:rPr>
          <w:rFonts w:cs="Arial"/>
        </w:rPr>
        <w:t xml:space="preserve">will consider the extent to which </w:t>
      </w:r>
    </w:p>
    <w:p w:rsidR="00660EBB" w:rsidRPr="00071E56" w:rsidRDefault="006D2871" w:rsidP="00071E56">
      <w:pPr>
        <w:numPr>
          <w:ilvl w:val="1"/>
          <w:numId w:val="2"/>
        </w:numPr>
      </w:pPr>
      <w:r w:rsidRPr="00071E56">
        <w:t>risks</w:t>
      </w:r>
      <w:r w:rsidR="00660EBB" w:rsidRPr="00071E56">
        <w:t xml:space="preserve"> to the successful operation and use of the system have been analysed and evaluated and brought to the attention of the Steering Committee</w:t>
      </w:r>
    </w:p>
    <w:p w:rsidR="006D2871" w:rsidRPr="00071E56" w:rsidRDefault="00660EBB" w:rsidP="00071E56">
      <w:pPr>
        <w:numPr>
          <w:ilvl w:val="1"/>
          <w:numId w:val="2"/>
        </w:numPr>
      </w:pPr>
      <w:proofErr w:type="gramStart"/>
      <w:r w:rsidRPr="00071E56">
        <w:t>and</w:t>
      </w:r>
      <w:proofErr w:type="gramEnd"/>
      <w:r w:rsidRPr="00071E56">
        <w:t xml:space="preserve"> adequate risk treatments have been implemented.</w:t>
      </w:r>
    </w:p>
    <w:p w:rsidR="00D85B21" w:rsidRDefault="0074250B" w:rsidP="00D85B21">
      <w:pPr>
        <w:tabs>
          <w:tab w:val="left" w:pos="1935"/>
        </w:tabs>
        <w:rPr>
          <w:rFonts w:cs="Arial"/>
          <w:b/>
          <w:bCs/>
          <w:iCs/>
        </w:rPr>
      </w:pPr>
      <w:r>
        <w:rPr>
          <w:rFonts w:cs="Arial"/>
          <w:b/>
          <w:bCs/>
          <w:iCs/>
        </w:rPr>
        <w:t>Operational Management</w:t>
      </w:r>
      <w:r w:rsidR="00D85B21">
        <w:rPr>
          <w:rFonts w:cs="Arial"/>
          <w:b/>
          <w:bCs/>
          <w:iCs/>
        </w:rPr>
        <w:tab/>
      </w:r>
    </w:p>
    <w:p w:rsidR="0074250B" w:rsidRPr="00920642" w:rsidRDefault="0074250B" w:rsidP="00676211">
      <w:pPr>
        <w:numPr>
          <w:ilvl w:val="0"/>
          <w:numId w:val="2"/>
        </w:numPr>
        <w:rPr>
          <w:rFonts w:cs="Arial"/>
        </w:rPr>
      </w:pPr>
      <w:r w:rsidRPr="00920642">
        <w:rPr>
          <w:rFonts w:cs="Arial"/>
        </w:rPr>
        <w:t xml:space="preserve">The day to day operation of the ABDR is administered by </w:t>
      </w:r>
      <w:r w:rsidR="002213E6">
        <w:rPr>
          <w:rFonts w:cs="Arial"/>
        </w:rPr>
        <w:t>I</w:t>
      </w:r>
      <w:r w:rsidR="002D1F26">
        <w:rPr>
          <w:rFonts w:cs="Arial"/>
        </w:rPr>
        <w:t>C</w:t>
      </w:r>
      <w:r w:rsidR="002213E6">
        <w:rPr>
          <w:rFonts w:cs="Arial"/>
        </w:rPr>
        <w:t>T staff employed or engaged</w:t>
      </w:r>
      <w:r w:rsidR="002246D9">
        <w:rPr>
          <w:rFonts w:cs="Arial"/>
        </w:rPr>
        <w:t xml:space="preserve"> by the NBA</w:t>
      </w:r>
      <w:r w:rsidR="008A647B">
        <w:rPr>
          <w:rFonts w:cs="Arial"/>
        </w:rPr>
        <w:t xml:space="preserve">, and data governance including data integrity and handling </w:t>
      </w:r>
      <w:r w:rsidR="008A647B">
        <w:rPr>
          <w:rFonts w:cs="Arial"/>
        </w:rPr>
        <w:lastRenderedPageBreak/>
        <w:t>of data requests is administered by expert data staff employed by the NBA</w:t>
      </w:r>
      <w:r w:rsidRPr="00920642">
        <w:rPr>
          <w:rFonts w:cs="Arial"/>
        </w:rPr>
        <w:t>.</w:t>
      </w:r>
      <w:r w:rsidR="008A647B">
        <w:rPr>
          <w:rFonts w:cs="Arial"/>
        </w:rPr>
        <w:t xml:space="preserve">  All NBA staff involved in administering the ABDR operate within the defined security </w:t>
      </w:r>
    </w:p>
    <w:p w:rsidR="0074250B" w:rsidRPr="001D2413" w:rsidRDefault="001634BC" w:rsidP="00E1638D">
      <w:pPr>
        <w:tabs>
          <w:tab w:val="left" w:pos="1935"/>
        </w:tabs>
      </w:pPr>
      <w:r>
        <w:t>.</w:t>
      </w:r>
    </w:p>
    <w:p w:rsidR="005A20AB" w:rsidRPr="00E33548" w:rsidRDefault="005A20AB" w:rsidP="0074250B">
      <w:pPr>
        <w:rPr>
          <w:b/>
        </w:rPr>
        <w:sectPr w:rsidR="005A20AB" w:rsidRPr="00E33548" w:rsidSect="004A6475">
          <w:footerReference w:type="default" r:id="rId21"/>
          <w:headerReference w:type="first" r:id="rId22"/>
          <w:footerReference w:type="first" r:id="rId23"/>
          <w:pgSz w:w="11906" w:h="16838"/>
          <w:pgMar w:top="1440" w:right="1440" w:bottom="1440" w:left="1440" w:header="709" w:footer="709" w:gutter="0"/>
          <w:pgNumType w:start="1" w:chapStyle="1"/>
          <w:cols w:space="708"/>
          <w:titlePg/>
          <w:docGrid w:linePitch="360"/>
        </w:sectPr>
      </w:pPr>
    </w:p>
    <w:p w:rsidR="00AC4466" w:rsidRPr="00B51ABC" w:rsidRDefault="00AC4466" w:rsidP="00B51ABC">
      <w:pPr>
        <w:pStyle w:val="Heading1"/>
        <w:keepNext w:val="0"/>
        <w:jc w:val="center"/>
      </w:pPr>
      <w:bookmarkStart w:id="20" w:name="_Toc405296110"/>
      <w:r w:rsidRPr="00B51ABC">
        <w:lastRenderedPageBreak/>
        <w:t>Australian Bleeding Disorder Registry (ABDR)</w:t>
      </w:r>
      <w:bookmarkEnd w:id="20"/>
    </w:p>
    <w:p w:rsidR="00AC4466" w:rsidRPr="00B51ABC" w:rsidRDefault="00AC4466" w:rsidP="00B51ABC">
      <w:pPr>
        <w:pStyle w:val="Heading1"/>
        <w:keepNext w:val="0"/>
        <w:jc w:val="center"/>
      </w:pPr>
      <w:bookmarkStart w:id="21" w:name="_Toc405296111"/>
      <w:r w:rsidRPr="00B51ABC">
        <w:t>Steering Committee Charter</w:t>
      </w:r>
      <w:bookmarkEnd w:id="21"/>
    </w:p>
    <w:p w:rsidR="00AC4466" w:rsidRPr="001D2413" w:rsidRDefault="00AC4466" w:rsidP="00AC4466">
      <w:pPr>
        <w:pStyle w:val="PlainText"/>
        <w:rPr>
          <w:rFonts w:ascii="Arial" w:hAnsi="Arial" w:cs="Arial"/>
          <w:b/>
          <w:sz w:val="24"/>
          <w:szCs w:val="24"/>
        </w:rPr>
      </w:pPr>
    </w:p>
    <w:p w:rsidR="00C20329" w:rsidRDefault="00C20329" w:rsidP="000105F5"/>
    <w:p w:rsidR="00E6360B" w:rsidRPr="001D2413" w:rsidRDefault="00E6360B" w:rsidP="00E6360B">
      <w:pPr>
        <w:pStyle w:val="PlainText"/>
        <w:spacing w:before="120" w:after="120"/>
        <w:rPr>
          <w:rFonts w:ascii="Arial" w:hAnsi="Arial" w:cs="Arial"/>
          <w:b/>
          <w:sz w:val="28"/>
          <w:szCs w:val="28"/>
        </w:rPr>
      </w:pPr>
      <w:r w:rsidRPr="001D2413">
        <w:rPr>
          <w:rFonts w:ascii="Arial" w:hAnsi="Arial" w:cs="Arial"/>
          <w:b/>
          <w:sz w:val="28"/>
          <w:szCs w:val="28"/>
        </w:rPr>
        <w:t>Preamble</w:t>
      </w:r>
    </w:p>
    <w:p w:rsidR="00D6652A" w:rsidRPr="00D9250B" w:rsidRDefault="00D6652A"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The Australian Bleeding Disorders Registry (ABDR) is established and funded by the Commonwealth, State and Territory governments, through the National Blood Authority (NBA).</w:t>
      </w:r>
    </w:p>
    <w:p w:rsidR="00D6652A" w:rsidRPr="00D9250B" w:rsidRDefault="00D6652A"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 xml:space="preserve">The General Manager of the NBA has established the Australian Disorders Registry Steering Committee (Steering Committee) under section 38 of the </w:t>
      </w:r>
      <w:r w:rsidRPr="00D9250B">
        <w:rPr>
          <w:rFonts w:ascii="Arial" w:hAnsi="Arial" w:cs="Arial"/>
          <w:i/>
          <w:sz w:val="24"/>
          <w:szCs w:val="24"/>
        </w:rPr>
        <w:t>National Blood Authority Act 2003</w:t>
      </w:r>
      <w:r w:rsidRPr="00D9250B">
        <w:rPr>
          <w:rFonts w:ascii="Arial" w:hAnsi="Arial" w:cs="Arial"/>
          <w:sz w:val="24"/>
          <w:szCs w:val="24"/>
        </w:rPr>
        <w:t xml:space="preserve"> (NBA Act) to assist with the performance of the NBA’s functions in relation to the ABDR.</w:t>
      </w:r>
    </w:p>
    <w:p w:rsidR="00D6652A" w:rsidRPr="00D9250B" w:rsidRDefault="00D6652A"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The NBA is responsible to the Commonwealth, State and Territory governments for ensuring that the ABDR meets the objectives for which it was established and meets all relevant stakeholder requirements.  As a Commonwealth agency, the NBA is also responsible for ensuring the operation of the ABDR is effective and efficient, and complies with all applicable legal requirements.</w:t>
      </w:r>
    </w:p>
    <w:p w:rsidR="007C2A99" w:rsidRPr="0046121D" w:rsidRDefault="007C2A99" w:rsidP="0018224A">
      <w:pPr>
        <w:pStyle w:val="PlainText"/>
        <w:numPr>
          <w:ilvl w:val="0"/>
          <w:numId w:val="14"/>
        </w:numPr>
        <w:spacing w:before="120" w:after="120"/>
        <w:rPr>
          <w:rFonts w:ascii="Arial" w:hAnsi="Arial" w:cs="Arial"/>
          <w:sz w:val="24"/>
          <w:szCs w:val="24"/>
        </w:rPr>
      </w:pPr>
      <w:r w:rsidRPr="0046121D">
        <w:rPr>
          <w:rFonts w:ascii="Arial" w:hAnsi="Arial" w:cs="Arial"/>
          <w:sz w:val="24"/>
          <w:szCs w:val="24"/>
        </w:rPr>
        <w:t>The ABDR provides</w:t>
      </w:r>
      <w:r w:rsidR="0046121D">
        <w:rPr>
          <w:rFonts w:ascii="Arial" w:hAnsi="Arial" w:cs="Arial"/>
          <w:sz w:val="24"/>
          <w:szCs w:val="24"/>
        </w:rPr>
        <w:t>,</w:t>
      </w:r>
      <w:r w:rsidR="000F6E3E">
        <w:rPr>
          <w:rFonts w:ascii="Arial" w:hAnsi="Arial" w:cs="Arial"/>
          <w:sz w:val="24"/>
          <w:szCs w:val="24"/>
        </w:rPr>
        <w:t xml:space="preserve"> </w:t>
      </w:r>
      <w:r w:rsidRPr="0046121D">
        <w:rPr>
          <w:rFonts w:ascii="Arial" w:hAnsi="Arial" w:cs="Arial"/>
          <w:sz w:val="24"/>
          <w:szCs w:val="24"/>
        </w:rPr>
        <w:t>health care team</w:t>
      </w:r>
      <w:r w:rsidR="0046121D">
        <w:rPr>
          <w:rFonts w:ascii="Arial" w:hAnsi="Arial" w:cs="Arial"/>
          <w:sz w:val="24"/>
          <w:szCs w:val="24"/>
        </w:rPr>
        <w:t>s</w:t>
      </w:r>
      <w:r w:rsidRPr="0046121D">
        <w:rPr>
          <w:rFonts w:ascii="Arial" w:hAnsi="Arial" w:cs="Arial"/>
          <w:sz w:val="24"/>
          <w:szCs w:val="24"/>
        </w:rPr>
        <w:t xml:space="preserve"> and support staff with a </w:t>
      </w:r>
      <w:r w:rsidR="00AB4A9C">
        <w:rPr>
          <w:rFonts w:ascii="Arial" w:hAnsi="Arial" w:cs="Arial"/>
          <w:sz w:val="24"/>
          <w:szCs w:val="24"/>
        </w:rPr>
        <w:t xml:space="preserve">health </w:t>
      </w:r>
      <w:r w:rsidRPr="0046121D">
        <w:rPr>
          <w:rFonts w:ascii="Arial" w:hAnsi="Arial" w:cs="Arial"/>
          <w:sz w:val="24"/>
          <w:szCs w:val="24"/>
        </w:rPr>
        <w:t xml:space="preserve">record </w:t>
      </w:r>
      <w:r w:rsidR="007111DA">
        <w:rPr>
          <w:rFonts w:ascii="Arial" w:hAnsi="Arial" w:cs="Arial"/>
          <w:sz w:val="24"/>
          <w:szCs w:val="24"/>
        </w:rPr>
        <w:t>enabling</w:t>
      </w:r>
      <w:r w:rsidRPr="0046121D">
        <w:rPr>
          <w:rFonts w:ascii="Arial" w:hAnsi="Arial" w:cs="Arial"/>
          <w:sz w:val="24"/>
          <w:szCs w:val="24"/>
        </w:rPr>
        <w:t xml:space="preserve"> them to monitor and manage </w:t>
      </w:r>
      <w:r w:rsidR="0046121D">
        <w:rPr>
          <w:rFonts w:ascii="Arial" w:hAnsi="Arial" w:cs="Arial"/>
          <w:sz w:val="24"/>
          <w:szCs w:val="24"/>
        </w:rPr>
        <w:t>patient</w:t>
      </w:r>
      <w:r w:rsidRPr="0046121D">
        <w:rPr>
          <w:rFonts w:ascii="Arial" w:hAnsi="Arial" w:cs="Arial"/>
          <w:sz w:val="24"/>
          <w:szCs w:val="24"/>
        </w:rPr>
        <w:t xml:space="preserve"> treatment over time to improve </w:t>
      </w:r>
      <w:r w:rsidR="0046121D">
        <w:rPr>
          <w:rFonts w:ascii="Arial" w:hAnsi="Arial" w:cs="Arial"/>
          <w:sz w:val="24"/>
          <w:szCs w:val="24"/>
        </w:rPr>
        <w:t>their</w:t>
      </w:r>
      <w:r w:rsidRPr="0046121D">
        <w:rPr>
          <w:rFonts w:ascii="Arial" w:hAnsi="Arial" w:cs="Arial"/>
          <w:sz w:val="24"/>
          <w:szCs w:val="24"/>
        </w:rPr>
        <w:t xml:space="preserve"> quality of life.  De</w:t>
      </w:r>
      <w:r w:rsidR="000F6E3E">
        <w:rPr>
          <w:rFonts w:ascii="Arial" w:hAnsi="Arial" w:cs="Arial"/>
          <w:sz w:val="24"/>
          <w:szCs w:val="24"/>
        </w:rPr>
        <w:t>-</w:t>
      </w:r>
      <w:r w:rsidRPr="0046121D">
        <w:rPr>
          <w:rFonts w:ascii="Arial" w:hAnsi="Arial" w:cs="Arial"/>
          <w:sz w:val="24"/>
          <w:szCs w:val="24"/>
        </w:rPr>
        <w:t xml:space="preserve">personalised information available from the ABDR is used by </w:t>
      </w:r>
      <w:r w:rsidR="000F6E3E">
        <w:rPr>
          <w:rFonts w:ascii="Arial" w:hAnsi="Arial" w:cs="Arial"/>
          <w:sz w:val="24"/>
          <w:szCs w:val="24"/>
        </w:rPr>
        <w:t xml:space="preserve">agreed </w:t>
      </w:r>
      <w:r w:rsidRPr="0046121D">
        <w:rPr>
          <w:rFonts w:ascii="Arial" w:hAnsi="Arial" w:cs="Arial"/>
          <w:sz w:val="24"/>
          <w:szCs w:val="24"/>
        </w:rPr>
        <w:t xml:space="preserve">professional and patient organisations to understand and improve treatment for bleeding disorders. The ABDR also provides governments with information on total clotting factor product </w:t>
      </w:r>
      <w:r w:rsidR="007111DA">
        <w:rPr>
          <w:rFonts w:ascii="Arial" w:hAnsi="Arial" w:cs="Arial"/>
          <w:sz w:val="24"/>
          <w:szCs w:val="24"/>
        </w:rPr>
        <w:t>requirements</w:t>
      </w:r>
      <w:r w:rsidRPr="0046121D">
        <w:rPr>
          <w:rFonts w:ascii="Arial" w:hAnsi="Arial" w:cs="Arial"/>
          <w:sz w:val="24"/>
          <w:szCs w:val="24"/>
        </w:rPr>
        <w:t xml:space="preserve"> to make sure there is enough available to meet the needs of all Australians with bleeding disorders</w:t>
      </w:r>
      <w:r w:rsidR="000F6E3E">
        <w:rPr>
          <w:rFonts w:ascii="Arial" w:hAnsi="Arial" w:cs="Arial"/>
          <w:sz w:val="24"/>
          <w:szCs w:val="24"/>
        </w:rPr>
        <w:t xml:space="preserve"> and the data to implement the High Cost Patient reconciliation provision allowed for in Schedule 3 of the National Blood Agreement</w:t>
      </w:r>
      <w:r w:rsidRPr="0046121D">
        <w:rPr>
          <w:rFonts w:ascii="Arial" w:hAnsi="Arial" w:cs="Arial"/>
          <w:sz w:val="24"/>
          <w:szCs w:val="24"/>
        </w:rPr>
        <w:t>.</w:t>
      </w:r>
    </w:p>
    <w:p w:rsidR="00D6652A" w:rsidRPr="00D9250B" w:rsidRDefault="00D6652A"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 xml:space="preserve">The </w:t>
      </w:r>
      <w:r w:rsidR="00C03E8F">
        <w:rPr>
          <w:rFonts w:ascii="Arial" w:hAnsi="Arial" w:cs="Arial"/>
          <w:sz w:val="24"/>
          <w:szCs w:val="24"/>
        </w:rPr>
        <w:t xml:space="preserve">NBA </w:t>
      </w:r>
      <w:r w:rsidRPr="00D9250B">
        <w:rPr>
          <w:rFonts w:ascii="Arial" w:hAnsi="Arial" w:cs="Arial"/>
          <w:sz w:val="24"/>
          <w:szCs w:val="24"/>
        </w:rPr>
        <w:t>General Manager will specify the governance framework for the ABDR in writing as appropriate from time to time.</w:t>
      </w:r>
    </w:p>
    <w:p w:rsidR="007B0C73" w:rsidRPr="00D9250B" w:rsidRDefault="007B0C73" w:rsidP="007B0C73">
      <w:pPr>
        <w:pStyle w:val="PlainText"/>
        <w:spacing w:before="240" w:after="120"/>
        <w:rPr>
          <w:rFonts w:ascii="Arial" w:hAnsi="Arial" w:cs="Arial"/>
          <w:b/>
          <w:sz w:val="28"/>
          <w:szCs w:val="28"/>
        </w:rPr>
      </w:pPr>
      <w:r w:rsidRPr="00D9250B">
        <w:rPr>
          <w:rFonts w:ascii="Arial" w:hAnsi="Arial" w:cs="Arial"/>
          <w:b/>
          <w:sz w:val="28"/>
          <w:szCs w:val="28"/>
        </w:rPr>
        <w:t>Purpose and operation of this Charter</w:t>
      </w:r>
    </w:p>
    <w:p w:rsidR="007B0C73" w:rsidRPr="00D9250B" w:rsidRDefault="007B0C73"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 xml:space="preserve">This Charter specifies the roles and responsibilities, and the operating procedures, of the Steering Committee.  It is a written direction given by the </w:t>
      </w:r>
      <w:r w:rsidR="00C03E8F">
        <w:rPr>
          <w:rFonts w:ascii="Arial" w:hAnsi="Arial" w:cs="Arial"/>
          <w:sz w:val="24"/>
          <w:szCs w:val="24"/>
        </w:rPr>
        <w:t xml:space="preserve">NBA </w:t>
      </w:r>
      <w:r w:rsidRPr="00D9250B">
        <w:rPr>
          <w:rFonts w:ascii="Arial" w:hAnsi="Arial" w:cs="Arial"/>
          <w:sz w:val="24"/>
          <w:szCs w:val="24"/>
        </w:rPr>
        <w:t xml:space="preserve">General Manager under section 38(3) of the NBA Act.  The </w:t>
      </w:r>
      <w:r w:rsidR="00C03E8F">
        <w:rPr>
          <w:rFonts w:ascii="Arial" w:hAnsi="Arial" w:cs="Arial"/>
          <w:sz w:val="24"/>
          <w:szCs w:val="24"/>
        </w:rPr>
        <w:t xml:space="preserve">NBA </w:t>
      </w:r>
      <w:r w:rsidRPr="00D9250B">
        <w:rPr>
          <w:rFonts w:ascii="Arial" w:hAnsi="Arial" w:cs="Arial"/>
          <w:sz w:val="24"/>
          <w:szCs w:val="24"/>
        </w:rPr>
        <w:t>General Manager may give further or different written directions as appropriate from time to time.</w:t>
      </w:r>
    </w:p>
    <w:p w:rsidR="00397D20" w:rsidRPr="00D9250B" w:rsidRDefault="00397D20" w:rsidP="00397D20">
      <w:pPr>
        <w:pStyle w:val="PlainText"/>
        <w:spacing w:before="120" w:after="120"/>
        <w:rPr>
          <w:rFonts w:ascii="Arial" w:hAnsi="Arial" w:cs="Arial"/>
          <w:b/>
          <w:sz w:val="28"/>
          <w:szCs w:val="28"/>
        </w:rPr>
      </w:pPr>
      <w:r w:rsidRPr="00D9250B">
        <w:rPr>
          <w:rFonts w:ascii="Arial" w:hAnsi="Arial" w:cs="Arial"/>
          <w:b/>
          <w:sz w:val="28"/>
          <w:szCs w:val="28"/>
        </w:rPr>
        <w:t>Review of Charter</w:t>
      </w:r>
    </w:p>
    <w:p w:rsidR="00397D20" w:rsidRPr="00D9250B" w:rsidRDefault="00397D20"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 xml:space="preserve">At least once a year the </w:t>
      </w:r>
      <w:r w:rsidR="00C03E8F">
        <w:rPr>
          <w:rFonts w:ascii="Arial" w:hAnsi="Arial" w:cs="Arial"/>
          <w:sz w:val="24"/>
          <w:szCs w:val="24"/>
        </w:rPr>
        <w:t xml:space="preserve">Steering </w:t>
      </w:r>
      <w:r w:rsidRPr="00D9250B">
        <w:rPr>
          <w:rFonts w:ascii="Arial" w:hAnsi="Arial" w:cs="Arial"/>
          <w:sz w:val="24"/>
          <w:szCs w:val="24"/>
        </w:rPr>
        <w:t xml:space="preserve">Committee will review this charter. This review will include consultation with the </w:t>
      </w:r>
      <w:r w:rsidR="00C03E8F">
        <w:rPr>
          <w:rFonts w:ascii="Arial" w:hAnsi="Arial" w:cs="Arial"/>
          <w:sz w:val="24"/>
          <w:szCs w:val="24"/>
        </w:rPr>
        <w:t xml:space="preserve">NBA </w:t>
      </w:r>
      <w:r w:rsidRPr="00D9250B">
        <w:rPr>
          <w:rFonts w:ascii="Arial" w:hAnsi="Arial" w:cs="Arial"/>
          <w:sz w:val="24"/>
          <w:szCs w:val="24"/>
        </w:rPr>
        <w:t>General Manager.</w:t>
      </w:r>
    </w:p>
    <w:p w:rsidR="00397D20" w:rsidRPr="00D9250B" w:rsidRDefault="005F5171"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S</w:t>
      </w:r>
      <w:r w:rsidR="00397D20" w:rsidRPr="00D9250B">
        <w:rPr>
          <w:rFonts w:ascii="Arial" w:hAnsi="Arial" w:cs="Arial"/>
          <w:sz w:val="24"/>
          <w:szCs w:val="24"/>
        </w:rPr>
        <w:t xml:space="preserve">ubstantive changes to the charter </w:t>
      </w:r>
      <w:r w:rsidRPr="00D9250B">
        <w:rPr>
          <w:rFonts w:ascii="Arial" w:hAnsi="Arial" w:cs="Arial"/>
          <w:sz w:val="24"/>
          <w:szCs w:val="24"/>
        </w:rPr>
        <w:t>may</w:t>
      </w:r>
      <w:r w:rsidR="00397D20" w:rsidRPr="00D9250B">
        <w:rPr>
          <w:rFonts w:ascii="Arial" w:hAnsi="Arial" w:cs="Arial"/>
          <w:sz w:val="24"/>
          <w:szCs w:val="24"/>
        </w:rPr>
        <w:t xml:space="preserve"> be recommended by the </w:t>
      </w:r>
      <w:r w:rsidR="00C03E8F">
        <w:rPr>
          <w:rFonts w:ascii="Arial" w:hAnsi="Arial" w:cs="Arial"/>
          <w:sz w:val="24"/>
          <w:szCs w:val="24"/>
        </w:rPr>
        <w:t xml:space="preserve">Steering </w:t>
      </w:r>
      <w:r w:rsidR="00397D20" w:rsidRPr="00D9250B">
        <w:rPr>
          <w:rFonts w:ascii="Arial" w:hAnsi="Arial" w:cs="Arial"/>
          <w:sz w:val="24"/>
          <w:szCs w:val="24"/>
        </w:rPr>
        <w:t xml:space="preserve">Committee </w:t>
      </w:r>
      <w:r w:rsidRPr="00D9250B">
        <w:rPr>
          <w:rFonts w:ascii="Arial" w:hAnsi="Arial" w:cs="Arial"/>
          <w:sz w:val="24"/>
          <w:szCs w:val="24"/>
        </w:rPr>
        <w:t>for consideration</w:t>
      </w:r>
      <w:r w:rsidR="00397D20" w:rsidRPr="00D9250B">
        <w:rPr>
          <w:rFonts w:ascii="Arial" w:hAnsi="Arial" w:cs="Arial"/>
          <w:sz w:val="24"/>
          <w:szCs w:val="24"/>
        </w:rPr>
        <w:t xml:space="preserve"> by the </w:t>
      </w:r>
      <w:r w:rsidR="00C03E8F">
        <w:rPr>
          <w:rFonts w:ascii="Arial" w:hAnsi="Arial" w:cs="Arial"/>
          <w:sz w:val="24"/>
          <w:szCs w:val="24"/>
        </w:rPr>
        <w:t xml:space="preserve">NBA </w:t>
      </w:r>
      <w:r w:rsidR="00397D20" w:rsidRPr="00D9250B">
        <w:rPr>
          <w:rFonts w:ascii="Arial" w:hAnsi="Arial" w:cs="Arial"/>
          <w:sz w:val="24"/>
          <w:szCs w:val="24"/>
        </w:rPr>
        <w:t>General Manager as per section 38(3) of the NBA Act.</w:t>
      </w:r>
    </w:p>
    <w:p w:rsidR="007B0C73" w:rsidRPr="00D9250B" w:rsidRDefault="007B0C73" w:rsidP="00B51ABC">
      <w:pPr>
        <w:pStyle w:val="PlainText"/>
        <w:keepNext/>
        <w:spacing w:before="240" w:after="120"/>
        <w:rPr>
          <w:rFonts w:ascii="Arial" w:hAnsi="Arial" w:cs="Arial"/>
          <w:b/>
          <w:sz w:val="28"/>
          <w:szCs w:val="28"/>
        </w:rPr>
      </w:pPr>
      <w:r w:rsidRPr="00D9250B">
        <w:rPr>
          <w:rFonts w:ascii="Arial" w:hAnsi="Arial" w:cs="Arial"/>
          <w:b/>
          <w:sz w:val="28"/>
          <w:szCs w:val="28"/>
        </w:rPr>
        <w:lastRenderedPageBreak/>
        <w:t>Roles and responsibilities of the Steering Committee</w:t>
      </w:r>
    </w:p>
    <w:p w:rsidR="007B0C73" w:rsidRPr="00D9250B" w:rsidRDefault="007B0C73"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The Steering Committee is established to fulfil the following roles and responsibilities, as part of the governance framework for the ABDR</w:t>
      </w:r>
      <w:r w:rsidR="00C03E8F">
        <w:rPr>
          <w:rFonts w:ascii="Arial" w:hAnsi="Arial" w:cs="Arial"/>
          <w:sz w:val="24"/>
          <w:szCs w:val="24"/>
        </w:rPr>
        <w:t>.</w:t>
      </w:r>
    </w:p>
    <w:p w:rsidR="007B0C73" w:rsidRPr="00D9250B" w:rsidRDefault="007B0C73"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providing independent oversight of the ABDR;</w:t>
      </w:r>
    </w:p>
    <w:p w:rsidR="007B0C73" w:rsidRPr="00D9250B" w:rsidRDefault="007B0C73"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providing a forum for stakeholder views in relation to the ABDR to be canvassed and advised to the NBA;</w:t>
      </w:r>
    </w:p>
    <w:p w:rsidR="007B0C73" w:rsidRPr="00D9250B" w:rsidRDefault="007B0C73"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 xml:space="preserve">providing advice to the </w:t>
      </w:r>
      <w:r w:rsidR="00C03E8F">
        <w:rPr>
          <w:rFonts w:ascii="Arial" w:hAnsi="Arial" w:cs="Arial"/>
          <w:sz w:val="24"/>
          <w:szCs w:val="24"/>
        </w:rPr>
        <w:t xml:space="preserve">NBA </w:t>
      </w:r>
      <w:r w:rsidRPr="00D9250B">
        <w:rPr>
          <w:rFonts w:ascii="Arial" w:hAnsi="Arial" w:cs="Arial"/>
          <w:sz w:val="24"/>
          <w:szCs w:val="24"/>
        </w:rPr>
        <w:t>General Manager in relation to the overall governance framework for the ABDR; and</w:t>
      </w:r>
    </w:p>
    <w:p w:rsidR="007B0C73" w:rsidRPr="00D9250B" w:rsidRDefault="007B0C73"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 xml:space="preserve">providing recommendations and advice to the NBA for the implementation and operation of the ABDR, including in the following areas outlined further below: </w:t>
      </w:r>
    </w:p>
    <w:p w:rsidR="007B0C73" w:rsidRPr="00D9250B" w:rsidRDefault="007B0C73" w:rsidP="007B0C73">
      <w:pPr>
        <w:pStyle w:val="PlainText"/>
        <w:numPr>
          <w:ilvl w:val="0"/>
          <w:numId w:val="4"/>
        </w:numPr>
        <w:tabs>
          <w:tab w:val="clear" w:pos="360"/>
          <w:tab w:val="num" w:pos="1506"/>
        </w:tabs>
        <w:spacing w:before="120" w:after="120"/>
        <w:ind w:left="1506" w:hanging="426"/>
        <w:rPr>
          <w:rFonts w:ascii="Arial" w:hAnsi="Arial" w:cs="Arial"/>
          <w:sz w:val="24"/>
          <w:szCs w:val="24"/>
        </w:rPr>
      </w:pPr>
      <w:r w:rsidRPr="00D9250B">
        <w:rPr>
          <w:rFonts w:ascii="Arial" w:hAnsi="Arial" w:cs="Arial"/>
          <w:sz w:val="24"/>
          <w:szCs w:val="24"/>
        </w:rPr>
        <w:t xml:space="preserve">planning, </w:t>
      </w:r>
      <w:r w:rsidR="00C03E8F">
        <w:rPr>
          <w:rFonts w:ascii="Arial" w:hAnsi="Arial" w:cs="Arial"/>
          <w:sz w:val="24"/>
          <w:szCs w:val="24"/>
        </w:rPr>
        <w:t xml:space="preserve">development and </w:t>
      </w:r>
      <w:r w:rsidRPr="00D9250B">
        <w:rPr>
          <w:rFonts w:ascii="Arial" w:hAnsi="Arial" w:cs="Arial"/>
          <w:sz w:val="24"/>
          <w:szCs w:val="24"/>
        </w:rPr>
        <w:t xml:space="preserve">implementation; </w:t>
      </w:r>
    </w:p>
    <w:p w:rsidR="007B0C73" w:rsidRDefault="007B0C73" w:rsidP="007B0C73">
      <w:pPr>
        <w:pStyle w:val="PlainText"/>
        <w:numPr>
          <w:ilvl w:val="0"/>
          <w:numId w:val="4"/>
        </w:numPr>
        <w:tabs>
          <w:tab w:val="clear" w:pos="360"/>
          <w:tab w:val="num" w:pos="1506"/>
        </w:tabs>
        <w:spacing w:before="120" w:after="120"/>
        <w:ind w:left="1506" w:hanging="426"/>
        <w:rPr>
          <w:rFonts w:ascii="Arial" w:hAnsi="Arial" w:cs="Arial"/>
          <w:sz w:val="24"/>
          <w:szCs w:val="24"/>
        </w:rPr>
      </w:pPr>
      <w:r w:rsidRPr="00D9250B">
        <w:rPr>
          <w:rFonts w:ascii="Arial" w:hAnsi="Arial" w:cs="Arial"/>
          <w:sz w:val="24"/>
          <w:szCs w:val="24"/>
        </w:rPr>
        <w:t>monitoring and management of system performance;</w:t>
      </w:r>
    </w:p>
    <w:p w:rsidR="000E4CAD" w:rsidRPr="00D9250B" w:rsidRDefault="000E4CAD" w:rsidP="007B0C73">
      <w:pPr>
        <w:pStyle w:val="PlainText"/>
        <w:numPr>
          <w:ilvl w:val="0"/>
          <w:numId w:val="4"/>
        </w:numPr>
        <w:tabs>
          <w:tab w:val="clear" w:pos="360"/>
          <w:tab w:val="num" w:pos="1506"/>
        </w:tabs>
        <w:spacing w:before="120" w:after="120"/>
        <w:ind w:left="1506" w:hanging="426"/>
        <w:rPr>
          <w:rFonts w:ascii="Arial" w:hAnsi="Arial" w:cs="Arial"/>
          <w:sz w:val="24"/>
          <w:szCs w:val="24"/>
        </w:rPr>
      </w:pPr>
      <w:r>
        <w:rPr>
          <w:rFonts w:ascii="Arial" w:hAnsi="Arial" w:cs="Arial"/>
          <w:sz w:val="24"/>
          <w:szCs w:val="24"/>
        </w:rPr>
        <w:t>achievement of data integrity;</w:t>
      </w:r>
    </w:p>
    <w:p w:rsidR="007B0C73" w:rsidRPr="00D9250B" w:rsidRDefault="007B0C73" w:rsidP="007B0C73">
      <w:pPr>
        <w:pStyle w:val="PlainText"/>
        <w:numPr>
          <w:ilvl w:val="0"/>
          <w:numId w:val="4"/>
        </w:numPr>
        <w:tabs>
          <w:tab w:val="clear" w:pos="360"/>
          <w:tab w:val="num" w:pos="1506"/>
        </w:tabs>
        <w:spacing w:before="120" w:after="120"/>
        <w:ind w:left="1506" w:hanging="426"/>
        <w:rPr>
          <w:rFonts w:ascii="Arial" w:hAnsi="Arial" w:cs="Arial"/>
          <w:sz w:val="24"/>
          <w:szCs w:val="24"/>
        </w:rPr>
      </w:pPr>
      <w:r w:rsidRPr="00D9250B">
        <w:rPr>
          <w:rFonts w:ascii="Arial" w:hAnsi="Arial" w:cs="Arial"/>
          <w:sz w:val="24"/>
          <w:szCs w:val="24"/>
        </w:rPr>
        <w:t>identification and management of risk;</w:t>
      </w:r>
    </w:p>
    <w:p w:rsidR="007B0C73" w:rsidRPr="00D9250B" w:rsidRDefault="007B0C73" w:rsidP="007B0C73">
      <w:pPr>
        <w:pStyle w:val="PlainText"/>
        <w:numPr>
          <w:ilvl w:val="0"/>
          <w:numId w:val="4"/>
        </w:numPr>
        <w:tabs>
          <w:tab w:val="clear" w:pos="360"/>
          <w:tab w:val="num" w:pos="1506"/>
        </w:tabs>
        <w:spacing w:before="120" w:after="120"/>
        <w:ind w:left="1506" w:hanging="426"/>
        <w:rPr>
          <w:rFonts w:ascii="Arial" w:hAnsi="Arial" w:cs="Arial"/>
          <w:sz w:val="24"/>
          <w:szCs w:val="24"/>
        </w:rPr>
      </w:pPr>
      <w:r w:rsidRPr="00D9250B">
        <w:rPr>
          <w:rFonts w:ascii="Arial" w:hAnsi="Arial" w:cs="Arial"/>
          <w:sz w:val="24"/>
          <w:szCs w:val="24"/>
        </w:rPr>
        <w:t xml:space="preserve">compliance with legislative and other governance obligations, including data privacy and security arrangements; and </w:t>
      </w:r>
    </w:p>
    <w:p w:rsidR="007B0C73" w:rsidRPr="00D9250B" w:rsidRDefault="007B0C73" w:rsidP="007B0C73">
      <w:pPr>
        <w:pStyle w:val="PlainText"/>
        <w:numPr>
          <w:ilvl w:val="0"/>
          <w:numId w:val="4"/>
        </w:numPr>
        <w:tabs>
          <w:tab w:val="clear" w:pos="360"/>
          <w:tab w:val="num" w:pos="1506"/>
        </w:tabs>
        <w:spacing w:before="120" w:after="120"/>
        <w:ind w:left="1506" w:hanging="426"/>
        <w:rPr>
          <w:rFonts w:ascii="Arial" w:hAnsi="Arial" w:cs="Arial"/>
          <w:sz w:val="24"/>
          <w:szCs w:val="24"/>
        </w:rPr>
      </w:pPr>
      <w:proofErr w:type="gramStart"/>
      <w:r w:rsidRPr="00D9250B">
        <w:rPr>
          <w:rFonts w:ascii="Arial" w:hAnsi="Arial" w:cs="Arial"/>
          <w:sz w:val="24"/>
          <w:szCs w:val="24"/>
        </w:rPr>
        <w:t>other</w:t>
      </w:r>
      <w:proofErr w:type="gramEnd"/>
      <w:r w:rsidRPr="00D9250B">
        <w:rPr>
          <w:rFonts w:ascii="Arial" w:hAnsi="Arial" w:cs="Arial"/>
          <w:sz w:val="24"/>
          <w:szCs w:val="24"/>
        </w:rPr>
        <w:t xml:space="preserve"> operational parameters relevant to the ABDR. </w:t>
      </w:r>
    </w:p>
    <w:p w:rsidR="007B0C73" w:rsidRPr="00D9250B" w:rsidRDefault="007B0C73" w:rsidP="007B0C73">
      <w:pPr>
        <w:pStyle w:val="Pa13"/>
        <w:spacing w:before="120" w:after="120"/>
        <w:jc w:val="both"/>
        <w:rPr>
          <w:rFonts w:ascii="Arial" w:hAnsi="Arial" w:cs="Arial"/>
          <w:b/>
        </w:rPr>
      </w:pPr>
      <w:r w:rsidRPr="00D9250B">
        <w:rPr>
          <w:rFonts w:ascii="Arial" w:hAnsi="Arial" w:cs="Arial"/>
          <w:b/>
        </w:rPr>
        <w:t>Planning, development and implementation</w:t>
      </w:r>
    </w:p>
    <w:p w:rsidR="007B0C73" w:rsidRPr="00D9250B" w:rsidRDefault="007B0C73"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This includes:</w:t>
      </w:r>
    </w:p>
    <w:p w:rsidR="007B0C73" w:rsidRPr="00D9250B" w:rsidRDefault="007B0C73" w:rsidP="007B0C73">
      <w:pPr>
        <w:pStyle w:val="PlainText"/>
        <w:numPr>
          <w:ilvl w:val="0"/>
          <w:numId w:val="7"/>
        </w:numPr>
        <w:spacing w:before="120" w:after="120"/>
        <w:rPr>
          <w:rFonts w:ascii="Arial" w:hAnsi="Arial" w:cs="Arial"/>
          <w:sz w:val="24"/>
          <w:szCs w:val="24"/>
        </w:rPr>
      </w:pPr>
      <w:r w:rsidRPr="00D9250B">
        <w:rPr>
          <w:rFonts w:ascii="Arial" w:hAnsi="Arial" w:cs="Arial"/>
          <w:sz w:val="24"/>
          <w:szCs w:val="24"/>
        </w:rPr>
        <w:t>Supporting the initial implementation and transition phases of the ABDR;</w:t>
      </w:r>
    </w:p>
    <w:p w:rsidR="007B0C73" w:rsidRPr="00D9250B" w:rsidRDefault="007B0C73" w:rsidP="007B0C73">
      <w:pPr>
        <w:pStyle w:val="PlainText"/>
        <w:numPr>
          <w:ilvl w:val="0"/>
          <w:numId w:val="7"/>
        </w:numPr>
        <w:spacing w:before="120" w:after="120"/>
        <w:rPr>
          <w:rFonts w:ascii="Arial" w:hAnsi="Arial" w:cs="Arial"/>
          <w:sz w:val="24"/>
          <w:szCs w:val="24"/>
        </w:rPr>
      </w:pPr>
      <w:r w:rsidRPr="00D9250B">
        <w:rPr>
          <w:rFonts w:ascii="Arial" w:hAnsi="Arial" w:cs="Arial"/>
          <w:sz w:val="24"/>
          <w:szCs w:val="24"/>
        </w:rPr>
        <w:t>Identification and consideration of any required changes to the design, functionality or performance of the ABDR;</w:t>
      </w:r>
    </w:p>
    <w:p w:rsidR="007B0C73" w:rsidRPr="00D9250B" w:rsidRDefault="007B0C73" w:rsidP="007B0C73">
      <w:pPr>
        <w:pStyle w:val="PlainText"/>
        <w:numPr>
          <w:ilvl w:val="0"/>
          <w:numId w:val="7"/>
        </w:numPr>
        <w:spacing w:before="120" w:after="120"/>
        <w:rPr>
          <w:rFonts w:ascii="Arial" w:hAnsi="Arial" w:cs="Arial"/>
          <w:sz w:val="24"/>
          <w:szCs w:val="24"/>
        </w:rPr>
      </w:pPr>
      <w:r w:rsidRPr="00D9250B">
        <w:rPr>
          <w:rFonts w:ascii="Arial" w:hAnsi="Arial" w:cs="Arial"/>
          <w:sz w:val="24"/>
          <w:szCs w:val="24"/>
        </w:rPr>
        <w:t>Annually review</w:t>
      </w:r>
      <w:r w:rsidR="00B841A4" w:rsidRPr="00D9250B">
        <w:rPr>
          <w:rFonts w:ascii="Arial" w:hAnsi="Arial" w:cs="Arial"/>
          <w:sz w:val="24"/>
          <w:szCs w:val="24"/>
        </w:rPr>
        <w:t>ing</w:t>
      </w:r>
      <w:r w:rsidRPr="00D9250B">
        <w:rPr>
          <w:rFonts w:ascii="Arial" w:hAnsi="Arial" w:cs="Arial"/>
          <w:sz w:val="24"/>
          <w:szCs w:val="24"/>
        </w:rPr>
        <w:t xml:space="preserve"> the design, functionality and performance of the ABDR to identify required system or supporting business process enhancements. </w:t>
      </w:r>
    </w:p>
    <w:p w:rsidR="007B0C73" w:rsidRPr="00D9250B" w:rsidRDefault="007B0C73" w:rsidP="007B0C73">
      <w:pPr>
        <w:pStyle w:val="Pa13"/>
        <w:spacing w:before="120" w:after="120"/>
        <w:jc w:val="both"/>
        <w:rPr>
          <w:rFonts w:ascii="Arial" w:hAnsi="Arial" w:cs="Arial"/>
          <w:b/>
        </w:rPr>
      </w:pPr>
      <w:r w:rsidRPr="00D9250B">
        <w:rPr>
          <w:rFonts w:ascii="Arial" w:hAnsi="Arial" w:cs="Arial"/>
          <w:b/>
        </w:rPr>
        <w:t>ABDR performance management</w:t>
      </w:r>
    </w:p>
    <w:p w:rsidR="007B0C73" w:rsidRPr="00D9250B" w:rsidRDefault="007B0C73"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This includes:</w:t>
      </w:r>
    </w:p>
    <w:p w:rsidR="007B0C73" w:rsidRPr="00D9250B" w:rsidRDefault="007B0C73" w:rsidP="007B0C73">
      <w:pPr>
        <w:pStyle w:val="PlainText"/>
        <w:numPr>
          <w:ilvl w:val="0"/>
          <w:numId w:val="5"/>
        </w:numPr>
        <w:tabs>
          <w:tab w:val="clear" w:pos="360"/>
          <w:tab w:val="num" w:pos="426"/>
        </w:tabs>
        <w:spacing w:before="120" w:after="120"/>
        <w:ind w:left="426" w:hanging="426"/>
        <w:rPr>
          <w:rFonts w:ascii="Arial" w:hAnsi="Arial" w:cs="Arial"/>
          <w:sz w:val="24"/>
          <w:szCs w:val="24"/>
        </w:rPr>
      </w:pPr>
      <w:r w:rsidRPr="00D9250B">
        <w:rPr>
          <w:rFonts w:ascii="Arial" w:hAnsi="Arial" w:cs="Arial"/>
          <w:sz w:val="24"/>
          <w:szCs w:val="24"/>
        </w:rPr>
        <w:t>Establishing procedures to monitor and review the operational performance and availability of the ABDR for all stakeholders</w:t>
      </w:r>
      <w:r w:rsidR="00083B72" w:rsidRPr="00D9250B">
        <w:rPr>
          <w:rFonts w:ascii="Arial" w:hAnsi="Arial" w:cs="Arial"/>
          <w:sz w:val="24"/>
          <w:szCs w:val="24"/>
        </w:rPr>
        <w:t>;</w:t>
      </w:r>
    </w:p>
    <w:p w:rsidR="007B0C73" w:rsidRPr="00D9250B" w:rsidRDefault="007B0C73" w:rsidP="007B0C73">
      <w:pPr>
        <w:pStyle w:val="PlainText"/>
        <w:numPr>
          <w:ilvl w:val="0"/>
          <w:numId w:val="5"/>
        </w:numPr>
        <w:tabs>
          <w:tab w:val="clear" w:pos="360"/>
          <w:tab w:val="num" w:pos="426"/>
        </w:tabs>
        <w:spacing w:before="120" w:after="120"/>
        <w:ind w:left="426" w:hanging="426"/>
        <w:rPr>
          <w:rFonts w:ascii="Arial" w:hAnsi="Arial" w:cs="Arial"/>
          <w:sz w:val="24"/>
          <w:szCs w:val="24"/>
        </w:rPr>
      </w:pPr>
      <w:r w:rsidRPr="00D9250B">
        <w:rPr>
          <w:rFonts w:ascii="Arial" w:hAnsi="Arial" w:cs="Arial"/>
          <w:sz w:val="24"/>
          <w:szCs w:val="24"/>
        </w:rPr>
        <w:t xml:space="preserve">Reviewing the adequacy of performance reports provided by the support contractor and providing feedback to the NBA on areas that are inadequate or </w:t>
      </w:r>
      <w:r w:rsidR="00083B72" w:rsidRPr="00D9250B">
        <w:rPr>
          <w:rFonts w:ascii="Arial" w:hAnsi="Arial" w:cs="Arial"/>
          <w:sz w:val="24"/>
          <w:szCs w:val="24"/>
        </w:rPr>
        <w:t>recommend areas for improvement;</w:t>
      </w:r>
    </w:p>
    <w:p w:rsidR="000E4CAD" w:rsidRDefault="007B0C73" w:rsidP="007B0C73">
      <w:pPr>
        <w:pStyle w:val="PlainText"/>
        <w:numPr>
          <w:ilvl w:val="0"/>
          <w:numId w:val="5"/>
        </w:numPr>
        <w:tabs>
          <w:tab w:val="clear" w:pos="360"/>
          <w:tab w:val="num" w:pos="426"/>
        </w:tabs>
        <w:spacing w:before="120" w:after="120"/>
        <w:ind w:left="426" w:hanging="426"/>
        <w:rPr>
          <w:rFonts w:ascii="Arial" w:hAnsi="Arial" w:cs="Arial"/>
          <w:sz w:val="24"/>
          <w:szCs w:val="24"/>
        </w:rPr>
      </w:pPr>
      <w:r w:rsidRPr="00D9250B">
        <w:rPr>
          <w:rFonts w:ascii="Arial" w:hAnsi="Arial" w:cs="Arial"/>
          <w:sz w:val="24"/>
          <w:szCs w:val="24"/>
        </w:rPr>
        <w:t>Reviewing the provision of ABDR management functions by AHCDO and providing feedback to the NBA and, through the AHCDO members of the Steering Committee, to AHCDO</w:t>
      </w:r>
      <w:r w:rsidR="000E4CAD">
        <w:rPr>
          <w:rFonts w:ascii="Arial" w:hAnsi="Arial" w:cs="Arial"/>
          <w:sz w:val="24"/>
          <w:szCs w:val="24"/>
        </w:rPr>
        <w:t>.</w:t>
      </w:r>
    </w:p>
    <w:p w:rsidR="000E4CAD" w:rsidRPr="00D9250B" w:rsidRDefault="000E4CAD" w:rsidP="000E4CAD">
      <w:pPr>
        <w:pStyle w:val="Pa13"/>
        <w:spacing w:before="120" w:after="120"/>
        <w:jc w:val="both"/>
        <w:rPr>
          <w:rFonts w:ascii="Arial" w:hAnsi="Arial" w:cs="Arial"/>
          <w:b/>
        </w:rPr>
      </w:pPr>
      <w:r>
        <w:rPr>
          <w:rFonts w:ascii="Arial" w:hAnsi="Arial" w:cs="Arial"/>
          <w:b/>
        </w:rPr>
        <w:t>Data integrity</w:t>
      </w:r>
    </w:p>
    <w:p w:rsidR="000E4CAD" w:rsidRPr="00D9250B" w:rsidRDefault="000E4CAD"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This includes:</w:t>
      </w:r>
    </w:p>
    <w:p w:rsidR="007B0C73" w:rsidRPr="00D9250B" w:rsidRDefault="007B0C73" w:rsidP="007B0C73">
      <w:pPr>
        <w:pStyle w:val="PlainText"/>
        <w:numPr>
          <w:ilvl w:val="0"/>
          <w:numId w:val="5"/>
        </w:numPr>
        <w:tabs>
          <w:tab w:val="clear" w:pos="360"/>
          <w:tab w:val="num" w:pos="426"/>
        </w:tabs>
        <w:spacing w:before="120" w:after="120"/>
        <w:ind w:left="426" w:hanging="426"/>
        <w:rPr>
          <w:rFonts w:ascii="Arial" w:hAnsi="Arial" w:cs="Arial"/>
          <w:sz w:val="24"/>
          <w:szCs w:val="24"/>
        </w:rPr>
      </w:pPr>
      <w:r w:rsidRPr="00D9250B">
        <w:rPr>
          <w:rFonts w:ascii="Arial" w:hAnsi="Arial" w:cs="Arial"/>
          <w:sz w:val="24"/>
          <w:szCs w:val="24"/>
        </w:rPr>
        <w:t xml:space="preserve">Establishing </w:t>
      </w:r>
      <w:r w:rsidR="000E4CAD">
        <w:rPr>
          <w:rFonts w:ascii="Arial" w:hAnsi="Arial" w:cs="Arial"/>
          <w:sz w:val="24"/>
          <w:szCs w:val="24"/>
        </w:rPr>
        <w:t>Data Standards</w:t>
      </w:r>
      <w:r w:rsidR="000E4CAD" w:rsidRPr="00D9250B">
        <w:rPr>
          <w:rFonts w:ascii="Arial" w:hAnsi="Arial" w:cs="Arial"/>
          <w:sz w:val="24"/>
          <w:szCs w:val="24"/>
        </w:rPr>
        <w:t xml:space="preserve"> </w:t>
      </w:r>
      <w:r w:rsidRPr="00D9250B">
        <w:rPr>
          <w:rFonts w:ascii="Arial" w:hAnsi="Arial" w:cs="Arial"/>
          <w:sz w:val="24"/>
          <w:szCs w:val="24"/>
        </w:rPr>
        <w:t xml:space="preserve">to ensure a consistent standard of data input and information currency, including maintaining standard data sets for diagnosis, </w:t>
      </w:r>
      <w:r w:rsidRPr="00D9250B">
        <w:rPr>
          <w:rFonts w:ascii="Arial" w:hAnsi="Arial" w:cs="Arial"/>
          <w:sz w:val="24"/>
          <w:szCs w:val="24"/>
        </w:rPr>
        <w:lastRenderedPageBreak/>
        <w:t>treatment and product usage for all PWBD that are treated with product provided by governments.</w:t>
      </w:r>
    </w:p>
    <w:p w:rsidR="007B0C73" w:rsidRPr="00D9250B" w:rsidRDefault="007B0C73" w:rsidP="007B0C73">
      <w:pPr>
        <w:pStyle w:val="Pa13"/>
        <w:spacing w:before="120" w:after="120"/>
        <w:jc w:val="both"/>
        <w:rPr>
          <w:rFonts w:ascii="Arial" w:hAnsi="Arial" w:cs="Arial"/>
          <w:b/>
        </w:rPr>
      </w:pPr>
      <w:r w:rsidRPr="00D9250B">
        <w:rPr>
          <w:rFonts w:ascii="Arial" w:hAnsi="Arial" w:cs="Arial"/>
          <w:b/>
        </w:rPr>
        <w:t>Risk identification and management</w:t>
      </w:r>
    </w:p>
    <w:p w:rsidR="007B0C73" w:rsidRPr="00D9250B" w:rsidRDefault="007B0C73"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This includes:</w:t>
      </w:r>
    </w:p>
    <w:p w:rsidR="005C43C9" w:rsidRPr="00D9250B" w:rsidRDefault="007B0C73" w:rsidP="00F96082">
      <w:pPr>
        <w:pStyle w:val="PlainText"/>
        <w:numPr>
          <w:ilvl w:val="0"/>
          <w:numId w:val="5"/>
        </w:numPr>
        <w:tabs>
          <w:tab w:val="clear" w:pos="360"/>
          <w:tab w:val="num" w:pos="426"/>
        </w:tabs>
        <w:spacing w:before="120" w:after="120"/>
        <w:ind w:left="426" w:hanging="426"/>
        <w:rPr>
          <w:rFonts w:ascii="Arial" w:hAnsi="Arial" w:cs="Arial"/>
          <w:sz w:val="24"/>
          <w:szCs w:val="24"/>
        </w:rPr>
      </w:pPr>
      <w:r w:rsidRPr="00D9250B">
        <w:rPr>
          <w:rFonts w:ascii="Arial" w:hAnsi="Arial" w:cs="Arial"/>
          <w:sz w:val="24"/>
          <w:szCs w:val="24"/>
        </w:rPr>
        <w:t>Establishing a current and comprehensive risk management framework, and associated procedures for effective identification and management of the legislative compliance and business risks in the operation of the ABDR, including management of data access and security and privacy provisions</w:t>
      </w:r>
      <w:r w:rsidR="00202EEE" w:rsidRPr="00D9250B">
        <w:rPr>
          <w:rFonts w:ascii="Arial" w:hAnsi="Arial" w:cs="Arial"/>
          <w:sz w:val="24"/>
          <w:szCs w:val="24"/>
        </w:rPr>
        <w:t>.</w:t>
      </w:r>
      <w:r w:rsidR="003B37A6" w:rsidRPr="00D9250B">
        <w:rPr>
          <w:rFonts w:ascii="Arial" w:hAnsi="Arial" w:cs="Arial"/>
          <w:sz w:val="24"/>
          <w:szCs w:val="24"/>
        </w:rPr>
        <w:t xml:space="preserve">  </w:t>
      </w:r>
      <w:r w:rsidR="00202EEE" w:rsidRPr="00D9250B">
        <w:rPr>
          <w:rFonts w:ascii="Arial" w:hAnsi="Arial" w:cs="Arial"/>
          <w:sz w:val="24"/>
          <w:szCs w:val="24"/>
        </w:rPr>
        <w:t xml:space="preserve">See Appendix </w:t>
      </w:r>
      <w:r w:rsidR="00F60D8E">
        <w:rPr>
          <w:rFonts w:ascii="Arial" w:hAnsi="Arial" w:cs="Arial"/>
          <w:sz w:val="24"/>
          <w:szCs w:val="24"/>
        </w:rPr>
        <w:t>2</w:t>
      </w:r>
      <w:r w:rsidR="00202EEE" w:rsidRPr="00D9250B">
        <w:rPr>
          <w:rFonts w:ascii="Arial" w:hAnsi="Arial" w:cs="Arial"/>
          <w:sz w:val="24"/>
          <w:szCs w:val="24"/>
        </w:rPr>
        <w:t>, Annex B for current ABDR Risk Management Plan</w:t>
      </w:r>
      <w:r w:rsidR="00083B72" w:rsidRPr="00D9250B">
        <w:rPr>
          <w:rFonts w:ascii="Arial" w:hAnsi="Arial" w:cs="Arial"/>
          <w:sz w:val="24"/>
          <w:szCs w:val="24"/>
        </w:rPr>
        <w:t>;</w:t>
      </w:r>
      <w:r w:rsidRPr="00D9250B">
        <w:rPr>
          <w:rFonts w:ascii="Arial" w:hAnsi="Arial" w:cs="Arial"/>
          <w:sz w:val="24"/>
          <w:szCs w:val="24"/>
        </w:rPr>
        <w:t xml:space="preserve"> </w:t>
      </w:r>
    </w:p>
    <w:p w:rsidR="00D9250B" w:rsidRDefault="007B0C73" w:rsidP="007B0C73">
      <w:pPr>
        <w:pStyle w:val="PlainText"/>
        <w:numPr>
          <w:ilvl w:val="0"/>
          <w:numId w:val="5"/>
        </w:numPr>
        <w:tabs>
          <w:tab w:val="clear" w:pos="360"/>
          <w:tab w:val="num" w:pos="426"/>
        </w:tabs>
        <w:spacing w:before="120" w:after="120"/>
        <w:ind w:left="426" w:hanging="426"/>
        <w:rPr>
          <w:rFonts w:ascii="Arial" w:hAnsi="Arial" w:cs="Arial"/>
          <w:sz w:val="24"/>
          <w:szCs w:val="24"/>
        </w:rPr>
      </w:pPr>
      <w:r w:rsidRPr="00D9250B">
        <w:rPr>
          <w:rFonts w:ascii="Arial" w:hAnsi="Arial" w:cs="Arial"/>
          <w:sz w:val="24"/>
          <w:szCs w:val="24"/>
        </w:rPr>
        <w:t>Review</w:t>
      </w:r>
      <w:r w:rsidR="00397D20" w:rsidRPr="00D9250B">
        <w:rPr>
          <w:rFonts w:ascii="Arial" w:hAnsi="Arial" w:cs="Arial"/>
          <w:sz w:val="24"/>
          <w:szCs w:val="24"/>
        </w:rPr>
        <w:t>ing</w:t>
      </w:r>
      <w:r w:rsidRPr="00D9250B">
        <w:rPr>
          <w:rFonts w:ascii="Arial" w:hAnsi="Arial" w:cs="Arial"/>
          <w:sz w:val="24"/>
          <w:szCs w:val="24"/>
        </w:rPr>
        <w:t xml:space="preserve"> the adequacy of the risk management framework at least once every </w:t>
      </w:r>
      <w:r w:rsidR="00C03E8F">
        <w:rPr>
          <w:rFonts w:ascii="Arial" w:hAnsi="Arial" w:cs="Arial"/>
          <w:sz w:val="24"/>
          <w:szCs w:val="24"/>
        </w:rPr>
        <w:t>year</w:t>
      </w:r>
      <w:r w:rsidR="00D9250B">
        <w:rPr>
          <w:rFonts w:ascii="Arial" w:hAnsi="Arial" w:cs="Arial"/>
          <w:sz w:val="24"/>
          <w:szCs w:val="24"/>
        </w:rPr>
        <w:t>.</w:t>
      </w:r>
    </w:p>
    <w:p w:rsidR="00D9250B" w:rsidRPr="00D9250B" w:rsidRDefault="007B0C73" w:rsidP="00D9250B">
      <w:pPr>
        <w:pStyle w:val="PlainText"/>
        <w:numPr>
          <w:ilvl w:val="0"/>
          <w:numId w:val="5"/>
        </w:numPr>
        <w:tabs>
          <w:tab w:val="clear" w:pos="360"/>
          <w:tab w:val="num" w:pos="426"/>
        </w:tabs>
        <w:spacing w:before="120" w:after="120"/>
        <w:ind w:left="426" w:hanging="426"/>
        <w:rPr>
          <w:rFonts w:ascii="Arial" w:hAnsi="Arial" w:cs="Arial"/>
          <w:b/>
          <w:sz w:val="24"/>
          <w:szCs w:val="24"/>
        </w:rPr>
      </w:pPr>
      <w:r w:rsidRPr="00D9250B">
        <w:rPr>
          <w:rFonts w:ascii="Arial" w:hAnsi="Arial" w:cs="Arial"/>
          <w:sz w:val="24"/>
          <w:szCs w:val="24"/>
        </w:rPr>
        <w:t>Establish</w:t>
      </w:r>
      <w:r w:rsidR="00397D20" w:rsidRPr="00D9250B">
        <w:rPr>
          <w:rFonts w:ascii="Arial" w:hAnsi="Arial" w:cs="Arial"/>
          <w:sz w:val="24"/>
          <w:szCs w:val="24"/>
        </w:rPr>
        <w:t>ing</w:t>
      </w:r>
      <w:r w:rsidRPr="00D9250B">
        <w:rPr>
          <w:rFonts w:ascii="Arial" w:hAnsi="Arial" w:cs="Arial"/>
          <w:sz w:val="24"/>
          <w:szCs w:val="24"/>
        </w:rPr>
        <w:t xml:space="preserve"> business continuity planning arrangements, including the periodic testing of such arrangements.</w:t>
      </w:r>
      <w:r w:rsidR="003B37A6" w:rsidRPr="00D9250B">
        <w:rPr>
          <w:rFonts w:ascii="Arial" w:hAnsi="Arial" w:cs="Arial"/>
          <w:sz w:val="24"/>
          <w:szCs w:val="24"/>
        </w:rPr>
        <w:t xml:space="preserve">  See Appendix </w:t>
      </w:r>
      <w:r w:rsidR="00F60D8E">
        <w:rPr>
          <w:rFonts w:ascii="Arial" w:hAnsi="Arial" w:cs="Arial"/>
          <w:sz w:val="24"/>
          <w:szCs w:val="24"/>
        </w:rPr>
        <w:t>3</w:t>
      </w:r>
      <w:r w:rsidR="003B37A6" w:rsidRPr="00D9250B">
        <w:rPr>
          <w:rFonts w:ascii="Arial" w:hAnsi="Arial" w:cs="Arial"/>
          <w:sz w:val="24"/>
          <w:szCs w:val="24"/>
        </w:rPr>
        <w:t>, Annex B.</w:t>
      </w:r>
      <w:r w:rsidRPr="00D9250B">
        <w:rPr>
          <w:rFonts w:ascii="Arial" w:hAnsi="Arial" w:cs="Arial"/>
          <w:sz w:val="24"/>
          <w:szCs w:val="24"/>
        </w:rPr>
        <w:t xml:space="preserve">  </w:t>
      </w:r>
    </w:p>
    <w:p w:rsidR="00397D20" w:rsidRPr="00D9250B" w:rsidRDefault="00397D20" w:rsidP="00D9250B">
      <w:pPr>
        <w:pStyle w:val="PlainText"/>
        <w:spacing w:before="120" w:after="120"/>
        <w:rPr>
          <w:rFonts w:ascii="Arial" w:hAnsi="Arial" w:cs="Arial"/>
          <w:b/>
          <w:sz w:val="24"/>
          <w:szCs w:val="24"/>
        </w:rPr>
      </w:pPr>
      <w:r w:rsidRPr="00D9250B">
        <w:rPr>
          <w:rFonts w:ascii="Arial" w:hAnsi="Arial" w:cs="Arial"/>
          <w:b/>
          <w:sz w:val="24"/>
          <w:szCs w:val="24"/>
        </w:rPr>
        <w:t>Legislative compliance and governance</w:t>
      </w:r>
    </w:p>
    <w:p w:rsidR="00397D20" w:rsidRPr="00D9250B" w:rsidRDefault="00397D20"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This includes:</w:t>
      </w:r>
    </w:p>
    <w:p w:rsidR="00397D20" w:rsidRPr="00D9250B" w:rsidRDefault="00397D20" w:rsidP="00397D20">
      <w:pPr>
        <w:pStyle w:val="PlainText"/>
        <w:numPr>
          <w:ilvl w:val="0"/>
          <w:numId w:val="6"/>
        </w:numPr>
        <w:spacing w:before="120" w:after="120"/>
        <w:rPr>
          <w:rFonts w:ascii="Arial" w:hAnsi="Arial" w:cs="Arial"/>
          <w:b/>
          <w:sz w:val="24"/>
          <w:szCs w:val="24"/>
        </w:rPr>
      </w:pPr>
      <w:r w:rsidRPr="00D9250B">
        <w:rPr>
          <w:rFonts w:ascii="Arial" w:hAnsi="Arial" w:cs="Arial"/>
          <w:sz w:val="24"/>
          <w:szCs w:val="24"/>
        </w:rPr>
        <w:t xml:space="preserve">Establishing an effective control framework for the ABDR, including over external parties such as ABDR users (of all categories) and </w:t>
      </w:r>
      <w:r w:rsidR="006B54C1">
        <w:rPr>
          <w:rFonts w:ascii="Arial" w:hAnsi="Arial" w:cs="Arial"/>
          <w:sz w:val="24"/>
          <w:szCs w:val="24"/>
        </w:rPr>
        <w:t>any</w:t>
      </w:r>
      <w:r w:rsidR="006B54C1" w:rsidRPr="00D9250B">
        <w:rPr>
          <w:rFonts w:ascii="Arial" w:hAnsi="Arial" w:cs="Arial"/>
          <w:sz w:val="24"/>
          <w:szCs w:val="24"/>
        </w:rPr>
        <w:t xml:space="preserve"> </w:t>
      </w:r>
      <w:r w:rsidRPr="00D9250B">
        <w:rPr>
          <w:rFonts w:ascii="Arial" w:hAnsi="Arial" w:cs="Arial"/>
          <w:sz w:val="24"/>
          <w:szCs w:val="24"/>
        </w:rPr>
        <w:t>support contractor</w:t>
      </w:r>
      <w:r w:rsidR="00083B72" w:rsidRPr="00D9250B">
        <w:rPr>
          <w:rFonts w:ascii="Arial" w:hAnsi="Arial" w:cs="Arial"/>
          <w:sz w:val="24"/>
          <w:szCs w:val="24"/>
        </w:rPr>
        <w:t>;</w:t>
      </w:r>
      <w:r w:rsidRPr="00D9250B">
        <w:rPr>
          <w:rFonts w:ascii="Arial" w:hAnsi="Arial" w:cs="Arial"/>
          <w:sz w:val="24"/>
          <w:szCs w:val="24"/>
        </w:rPr>
        <w:t xml:space="preserve">  </w:t>
      </w:r>
    </w:p>
    <w:p w:rsidR="000F6E3E" w:rsidRPr="00DB1CAE" w:rsidRDefault="00397D20" w:rsidP="00397D20">
      <w:pPr>
        <w:pStyle w:val="PlainText"/>
        <w:numPr>
          <w:ilvl w:val="0"/>
          <w:numId w:val="6"/>
        </w:numPr>
        <w:spacing w:before="120" w:after="120"/>
        <w:rPr>
          <w:rFonts w:ascii="Arial" w:hAnsi="Arial" w:cs="Arial"/>
          <w:b/>
          <w:sz w:val="24"/>
          <w:szCs w:val="24"/>
        </w:rPr>
      </w:pPr>
      <w:r w:rsidRPr="00D9250B">
        <w:rPr>
          <w:rFonts w:ascii="Arial" w:hAnsi="Arial" w:cs="Arial"/>
          <w:sz w:val="24"/>
          <w:szCs w:val="24"/>
        </w:rPr>
        <w:t xml:space="preserve">Implementing a sound and effective approach to changes in data access </w:t>
      </w:r>
      <w:r w:rsidR="0063053E">
        <w:rPr>
          <w:rFonts w:ascii="Arial" w:hAnsi="Arial" w:cs="Arial"/>
          <w:sz w:val="24"/>
          <w:szCs w:val="24"/>
        </w:rPr>
        <w:t>a</w:t>
      </w:r>
      <w:r w:rsidRPr="00D9250B">
        <w:rPr>
          <w:rFonts w:ascii="Arial" w:hAnsi="Arial" w:cs="Arial"/>
          <w:sz w:val="24"/>
          <w:szCs w:val="24"/>
        </w:rPr>
        <w:t>rrangements</w:t>
      </w:r>
      <w:r w:rsidR="0028634C">
        <w:rPr>
          <w:rFonts w:ascii="Arial" w:hAnsi="Arial" w:cs="Arial"/>
          <w:sz w:val="24"/>
          <w:szCs w:val="24"/>
        </w:rPr>
        <w:t>,</w:t>
      </w:r>
      <w:r w:rsidRPr="00D9250B">
        <w:rPr>
          <w:rFonts w:ascii="Arial" w:hAnsi="Arial" w:cs="Arial"/>
          <w:sz w:val="24"/>
          <w:szCs w:val="24"/>
        </w:rPr>
        <w:t xml:space="preserve"> that includes a risk management assessment</w:t>
      </w:r>
      <w:r w:rsidR="00F62E87">
        <w:rPr>
          <w:rFonts w:ascii="Arial" w:hAnsi="Arial" w:cs="Arial"/>
          <w:sz w:val="24"/>
          <w:szCs w:val="24"/>
        </w:rPr>
        <w:t>;</w:t>
      </w:r>
      <w:r w:rsidR="00083B72" w:rsidRPr="00D9250B">
        <w:rPr>
          <w:rFonts w:ascii="Arial" w:hAnsi="Arial" w:cs="Arial"/>
          <w:sz w:val="24"/>
          <w:szCs w:val="24"/>
        </w:rPr>
        <w:t xml:space="preserve"> </w:t>
      </w:r>
    </w:p>
    <w:p w:rsidR="00397D20" w:rsidRPr="001C5048" w:rsidRDefault="00397D20" w:rsidP="00397D20">
      <w:pPr>
        <w:pStyle w:val="PlainText"/>
        <w:numPr>
          <w:ilvl w:val="0"/>
          <w:numId w:val="6"/>
        </w:numPr>
        <w:spacing w:before="120" w:after="120"/>
        <w:rPr>
          <w:rFonts w:ascii="Arial" w:hAnsi="Arial" w:cs="Arial"/>
          <w:b/>
          <w:sz w:val="24"/>
          <w:szCs w:val="24"/>
        </w:rPr>
      </w:pPr>
      <w:r w:rsidRPr="00D9250B">
        <w:rPr>
          <w:rFonts w:ascii="Arial" w:hAnsi="Arial" w:cs="Arial"/>
          <w:sz w:val="24"/>
          <w:szCs w:val="24"/>
        </w:rPr>
        <w:t>Embedding a culture amongst stakeholders and ABDR users which is committed to the ethical and appropriate use of the system</w:t>
      </w:r>
      <w:r w:rsidR="00083B72" w:rsidRPr="00D9250B">
        <w:rPr>
          <w:rFonts w:ascii="Arial" w:hAnsi="Arial" w:cs="Arial"/>
          <w:sz w:val="24"/>
          <w:szCs w:val="24"/>
        </w:rPr>
        <w:t>;</w:t>
      </w:r>
    </w:p>
    <w:p w:rsidR="00F62E87" w:rsidRPr="00D9250B" w:rsidRDefault="00F62E87" w:rsidP="00397D20">
      <w:pPr>
        <w:pStyle w:val="PlainText"/>
        <w:numPr>
          <w:ilvl w:val="0"/>
          <w:numId w:val="6"/>
        </w:numPr>
        <w:spacing w:before="120" w:after="120"/>
        <w:rPr>
          <w:rFonts w:ascii="Arial" w:hAnsi="Arial" w:cs="Arial"/>
          <w:b/>
          <w:sz w:val="24"/>
          <w:szCs w:val="24"/>
        </w:rPr>
      </w:pPr>
      <w:r>
        <w:rPr>
          <w:rFonts w:ascii="Arial" w:hAnsi="Arial" w:cs="Arial"/>
          <w:sz w:val="24"/>
          <w:szCs w:val="24"/>
        </w:rPr>
        <w:t>Providing oversight of the process of seeking and maintaining Human Research Ethics Committee approvals as necessary for ABDR, in liaison with the NBA, AHCDO and individual HTCs;</w:t>
      </w:r>
    </w:p>
    <w:p w:rsidR="00397D20" w:rsidRPr="00D9250B" w:rsidRDefault="00397D20" w:rsidP="00397D20">
      <w:pPr>
        <w:pStyle w:val="PlainText"/>
        <w:numPr>
          <w:ilvl w:val="0"/>
          <w:numId w:val="6"/>
        </w:numPr>
        <w:spacing w:before="120" w:after="120"/>
        <w:rPr>
          <w:rFonts w:ascii="Arial" w:hAnsi="Arial" w:cs="Arial"/>
          <w:b/>
          <w:sz w:val="24"/>
          <w:szCs w:val="24"/>
        </w:rPr>
      </w:pPr>
      <w:r w:rsidRPr="00D9250B">
        <w:rPr>
          <w:rFonts w:ascii="Arial" w:hAnsi="Arial" w:cs="Arial"/>
          <w:sz w:val="24"/>
          <w:szCs w:val="24"/>
        </w:rPr>
        <w:t>Reviewing at least once a year whether policies and procedures are appropriate, current and complied with.</w:t>
      </w:r>
    </w:p>
    <w:p w:rsidR="00397D20" w:rsidRPr="00D9250B" w:rsidRDefault="00397D20" w:rsidP="00397D20">
      <w:pPr>
        <w:pStyle w:val="Pa13"/>
        <w:spacing w:before="120" w:after="120"/>
        <w:jc w:val="both"/>
        <w:rPr>
          <w:rFonts w:ascii="Arial" w:hAnsi="Arial" w:cs="Arial"/>
          <w:b/>
        </w:rPr>
      </w:pPr>
      <w:r w:rsidRPr="00D9250B">
        <w:rPr>
          <w:rFonts w:ascii="Arial" w:hAnsi="Arial" w:cs="Arial"/>
          <w:b/>
          <w:bCs/>
          <w:iCs/>
        </w:rPr>
        <w:t>Data privacy and security</w:t>
      </w:r>
    </w:p>
    <w:p w:rsidR="00397D20" w:rsidRPr="00D9250B" w:rsidRDefault="00397D20"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This includes:</w:t>
      </w:r>
    </w:p>
    <w:p w:rsidR="000E4CAD" w:rsidRPr="001C5048" w:rsidRDefault="000E4CAD" w:rsidP="001C5048">
      <w:pPr>
        <w:pStyle w:val="PlainText"/>
        <w:numPr>
          <w:ilvl w:val="0"/>
          <w:numId w:val="6"/>
        </w:numPr>
        <w:spacing w:before="120" w:after="120"/>
        <w:rPr>
          <w:rFonts w:ascii="Arial" w:hAnsi="Arial" w:cs="Arial"/>
          <w:sz w:val="24"/>
          <w:szCs w:val="24"/>
        </w:rPr>
      </w:pPr>
      <w:r w:rsidRPr="001C5048">
        <w:rPr>
          <w:rFonts w:ascii="Arial" w:hAnsi="Arial" w:cs="Arial"/>
          <w:sz w:val="24"/>
          <w:szCs w:val="24"/>
        </w:rPr>
        <w:t xml:space="preserve">Establishing </w:t>
      </w:r>
      <w:r w:rsidR="006B54C1">
        <w:rPr>
          <w:rFonts w:ascii="Arial" w:hAnsi="Arial" w:cs="Arial"/>
          <w:sz w:val="24"/>
          <w:szCs w:val="24"/>
        </w:rPr>
        <w:t xml:space="preserve">and updating </w:t>
      </w:r>
      <w:r w:rsidRPr="001C5048">
        <w:rPr>
          <w:rFonts w:ascii="Arial" w:hAnsi="Arial" w:cs="Arial"/>
          <w:sz w:val="24"/>
          <w:szCs w:val="24"/>
        </w:rPr>
        <w:t>an ABDR Privacy Policy;</w:t>
      </w:r>
    </w:p>
    <w:p w:rsidR="00505606" w:rsidRPr="00FC7A98" w:rsidRDefault="00397D20" w:rsidP="00FC7A98">
      <w:pPr>
        <w:pStyle w:val="PlainText"/>
        <w:numPr>
          <w:ilvl w:val="0"/>
          <w:numId w:val="6"/>
        </w:numPr>
        <w:spacing w:before="120" w:after="120"/>
      </w:pPr>
      <w:r w:rsidRPr="00FC7A98">
        <w:rPr>
          <w:rFonts w:ascii="Arial" w:hAnsi="Arial"/>
          <w:sz w:val="24"/>
        </w:rPr>
        <w:t xml:space="preserve">Overseeing the operation of data access and security arrangements outlined at </w:t>
      </w:r>
      <w:r w:rsidR="00505606" w:rsidRPr="00FC7A98">
        <w:rPr>
          <w:rFonts w:ascii="Arial" w:hAnsi="Arial"/>
          <w:sz w:val="24"/>
        </w:rPr>
        <w:t xml:space="preserve">Appendix </w:t>
      </w:r>
      <w:r w:rsidR="00F60D8E" w:rsidRPr="00FC7A98">
        <w:rPr>
          <w:rFonts w:ascii="Arial" w:hAnsi="Arial"/>
          <w:sz w:val="24"/>
        </w:rPr>
        <w:t>5</w:t>
      </w:r>
      <w:r w:rsidR="00505606" w:rsidRPr="00FC7A98">
        <w:rPr>
          <w:rFonts w:ascii="Arial" w:hAnsi="Arial"/>
          <w:sz w:val="24"/>
        </w:rPr>
        <w:t>, Annex B;</w:t>
      </w:r>
    </w:p>
    <w:p w:rsidR="00397D20" w:rsidRPr="00FC7A98" w:rsidRDefault="00397D20" w:rsidP="00FC7A98">
      <w:pPr>
        <w:pStyle w:val="PlainText"/>
        <w:numPr>
          <w:ilvl w:val="0"/>
          <w:numId w:val="6"/>
        </w:numPr>
        <w:spacing w:before="120" w:after="120"/>
      </w:pPr>
      <w:r w:rsidRPr="00FC7A98">
        <w:rPr>
          <w:rFonts w:ascii="Arial" w:hAnsi="Arial"/>
          <w:sz w:val="24"/>
        </w:rPr>
        <w:t>Reviewing the ABDR privacy and security arrangements at least annually to ensure they are adequate and meet all legislative and policy requirements, including all applicable requirements of</w:t>
      </w:r>
      <w:r w:rsidRPr="001C5048">
        <w:rPr>
          <w:rFonts w:ascii="Arial" w:hAnsi="Arial" w:cs="Arial"/>
          <w:sz w:val="24"/>
          <w:szCs w:val="24"/>
        </w:rPr>
        <w:t xml:space="preserve"> the Commonwealth</w:t>
      </w:r>
      <w:r w:rsidRPr="00FC7A98">
        <w:rPr>
          <w:rFonts w:ascii="Arial" w:hAnsi="Arial"/>
          <w:sz w:val="24"/>
        </w:rPr>
        <w:t xml:space="preserve"> and applicable state or territory laws or compliance frameworks;</w:t>
      </w:r>
    </w:p>
    <w:p w:rsidR="00505606" w:rsidRPr="00FC7A98" w:rsidRDefault="00397D20" w:rsidP="00FC7A98">
      <w:pPr>
        <w:pStyle w:val="PlainText"/>
        <w:numPr>
          <w:ilvl w:val="0"/>
          <w:numId w:val="6"/>
        </w:numPr>
        <w:spacing w:before="120" w:after="120"/>
      </w:pPr>
      <w:r w:rsidRPr="00FC7A98">
        <w:rPr>
          <w:rFonts w:ascii="Arial" w:hAnsi="Arial"/>
          <w:sz w:val="24"/>
        </w:rPr>
        <w:t>Establish</w:t>
      </w:r>
      <w:r w:rsidR="00F62BBC" w:rsidRPr="00FC7A98">
        <w:rPr>
          <w:rFonts w:ascii="Arial" w:hAnsi="Arial"/>
          <w:sz w:val="24"/>
        </w:rPr>
        <w:t>ing</w:t>
      </w:r>
      <w:r w:rsidRPr="00FC7A98">
        <w:rPr>
          <w:rFonts w:ascii="Arial" w:hAnsi="Arial"/>
          <w:sz w:val="24"/>
        </w:rPr>
        <w:t xml:space="preserve"> and </w:t>
      </w:r>
      <w:r w:rsidR="00F62BBC" w:rsidRPr="00FC7A98">
        <w:rPr>
          <w:rFonts w:ascii="Arial" w:hAnsi="Arial"/>
          <w:sz w:val="24"/>
        </w:rPr>
        <w:t>overseeing</w:t>
      </w:r>
      <w:r w:rsidRPr="00FC7A98">
        <w:rPr>
          <w:rFonts w:ascii="Arial" w:hAnsi="Arial"/>
          <w:sz w:val="24"/>
        </w:rPr>
        <w:t xml:space="preserve"> procedures that ensure data access adheres to the permissions matrix at </w:t>
      </w:r>
      <w:r w:rsidR="00F60D8E" w:rsidRPr="00FC7A98">
        <w:rPr>
          <w:rFonts w:ascii="Arial" w:hAnsi="Arial"/>
          <w:sz w:val="24"/>
        </w:rPr>
        <w:t>Appendix 6</w:t>
      </w:r>
      <w:r w:rsidR="00505606" w:rsidRPr="00FC7A98">
        <w:rPr>
          <w:rFonts w:ascii="Arial" w:hAnsi="Arial"/>
          <w:sz w:val="24"/>
        </w:rPr>
        <w:t>, Annex B;</w:t>
      </w:r>
    </w:p>
    <w:p w:rsidR="00397D20" w:rsidRPr="00FC7A98" w:rsidRDefault="00F62BBC" w:rsidP="00FC7A98">
      <w:pPr>
        <w:pStyle w:val="PlainText"/>
        <w:numPr>
          <w:ilvl w:val="0"/>
          <w:numId w:val="6"/>
        </w:numPr>
        <w:spacing w:before="120" w:after="120"/>
      </w:pPr>
      <w:r w:rsidRPr="00FC7A98">
        <w:rPr>
          <w:rFonts w:ascii="Arial" w:hAnsi="Arial"/>
          <w:sz w:val="24"/>
        </w:rPr>
        <w:t>Establishing and o</w:t>
      </w:r>
      <w:r w:rsidR="00397D20" w:rsidRPr="00FC7A98">
        <w:rPr>
          <w:rFonts w:ascii="Arial" w:hAnsi="Arial"/>
          <w:sz w:val="24"/>
        </w:rPr>
        <w:t>versee</w:t>
      </w:r>
      <w:r w:rsidRPr="00FC7A98">
        <w:rPr>
          <w:rFonts w:ascii="Arial" w:hAnsi="Arial"/>
          <w:sz w:val="24"/>
        </w:rPr>
        <w:t xml:space="preserve">ing </w:t>
      </w:r>
      <w:r w:rsidR="00397D20" w:rsidRPr="00FC7A98">
        <w:rPr>
          <w:rFonts w:ascii="Arial" w:hAnsi="Arial"/>
          <w:sz w:val="24"/>
        </w:rPr>
        <w:t xml:space="preserve">the process for </w:t>
      </w:r>
      <w:proofErr w:type="spellStart"/>
      <w:r w:rsidR="00D44274" w:rsidRPr="00FC7A98">
        <w:rPr>
          <w:rFonts w:ascii="Arial" w:hAnsi="Arial"/>
          <w:sz w:val="24"/>
        </w:rPr>
        <w:t>adhoc</w:t>
      </w:r>
      <w:proofErr w:type="spellEnd"/>
      <w:r w:rsidR="00D44274" w:rsidRPr="00FC7A98">
        <w:rPr>
          <w:rFonts w:ascii="Arial" w:hAnsi="Arial"/>
          <w:sz w:val="24"/>
        </w:rPr>
        <w:t xml:space="preserve"> and standing </w:t>
      </w:r>
      <w:r w:rsidR="00397D20" w:rsidRPr="00FC7A98">
        <w:rPr>
          <w:rFonts w:ascii="Arial" w:hAnsi="Arial"/>
          <w:sz w:val="24"/>
        </w:rPr>
        <w:t xml:space="preserve">requests to vary the permissions matrix in accordance with the arrangements shown at </w:t>
      </w:r>
      <w:r w:rsidR="00505606" w:rsidRPr="00FC7A98">
        <w:rPr>
          <w:rFonts w:ascii="Arial" w:hAnsi="Arial"/>
          <w:sz w:val="24"/>
        </w:rPr>
        <w:t xml:space="preserve">Appendix </w:t>
      </w:r>
      <w:r w:rsidR="00F60D8E" w:rsidRPr="00FC7A98">
        <w:rPr>
          <w:rFonts w:ascii="Arial" w:hAnsi="Arial"/>
          <w:sz w:val="24"/>
        </w:rPr>
        <w:t>6</w:t>
      </w:r>
      <w:r w:rsidR="00505606" w:rsidRPr="00FC7A98">
        <w:rPr>
          <w:rFonts w:ascii="Arial" w:hAnsi="Arial"/>
          <w:sz w:val="24"/>
        </w:rPr>
        <w:t>, Annex B,</w:t>
      </w:r>
      <w:r w:rsidR="00397D20" w:rsidRPr="00FC7A98">
        <w:rPr>
          <w:rFonts w:ascii="Arial" w:hAnsi="Arial"/>
          <w:sz w:val="24"/>
        </w:rPr>
        <w:t xml:space="preserve"> including a formal consideration </w:t>
      </w:r>
      <w:r w:rsidR="00083B72" w:rsidRPr="00FC7A98">
        <w:rPr>
          <w:rFonts w:ascii="Arial" w:hAnsi="Arial"/>
          <w:sz w:val="24"/>
        </w:rPr>
        <w:t xml:space="preserve">by the </w:t>
      </w:r>
      <w:r w:rsidR="00B03E2D" w:rsidRPr="00FC7A98">
        <w:rPr>
          <w:rFonts w:ascii="Arial" w:hAnsi="Arial"/>
          <w:sz w:val="24"/>
        </w:rPr>
        <w:t xml:space="preserve">Steering </w:t>
      </w:r>
      <w:r w:rsidR="00083B72" w:rsidRPr="00FC7A98">
        <w:rPr>
          <w:rFonts w:ascii="Arial" w:hAnsi="Arial"/>
          <w:sz w:val="24"/>
        </w:rPr>
        <w:t>Committee of any request;</w:t>
      </w:r>
    </w:p>
    <w:p w:rsidR="00397D20" w:rsidRPr="00D9250B" w:rsidRDefault="00083B72" w:rsidP="00397D20">
      <w:pPr>
        <w:numPr>
          <w:ilvl w:val="0"/>
          <w:numId w:val="6"/>
        </w:numPr>
        <w:spacing w:before="0" w:after="0"/>
        <w:rPr>
          <w:rFonts w:cs="Arial"/>
        </w:rPr>
      </w:pPr>
      <w:r w:rsidRPr="00D9250B">
        <w:rPr>
          <w:rFonts w:cs="Arial"/>
        </w:rPr>
        <w:lastRenderedPageBreak/>
        <w:t>Establishing and o</w:t>
      </w:r>
      <w:r w:rsidR="00397D20" w:rsidRPr="00D9250B">
        <w:rPr>
          <w:rFonts w:cs="Arial"/>
        </w:rPr>
        <w:t>versee</w:t>
      </w:r>
      <w:r w:rsidRPr="00D9250B">
        <w:rPr>
          <w:rFonts w:cs="Arial"/>
        </w:rPr>
        <w:t>ing</w:t>
      </w:r>
      <w:r w:rsidR="00397D20" w:rsidRPr="00D9250B">
        <w:rPr>
          <w:rFonts w:cs="Arial"/>
        </w:rPr>
        <w:t xml:space="preserve"> the process for requests to </w:t>
      </w:r>
      <w:r w:rsidRPr="00D9250B">
        <w:rPr>
          <w:rFonts w:cs="Arial"/>
        </w:rPr>
        <w:t xml:space="preserve">use or </w:t>
      </w:r>
      <w:r w:rsidR="00397D20" w:rsidRPr="00D9250B">
        <w:rPr>
          <w:rFonts w:cs="Arial"/>
        </w:rPr>
        <w:t xml:space="preserve">publish ABDR data in accordance with the arrangements shown at </w:t>
      </w:r>
      <w:r w:rsidR="00505606" w:rsidRPr="00D9250B">
        <w:rPr>
          <w:rFonts w:cs="Arial"/>
        </w:rPr>
        <w:t xml:space="preserve">Appendix 7, Annex B, </w:t>
      </w:r>
      <w:r w:rsidR="00397D20" w:rsidRPr="00D9250B">
        <w:rPr>
          <w:rFonts w:cs="Arial"/>
        </w:rPr>
        <w:t>including a formal consideration by the</w:t>
      </w:r>
      <w:r w:rsidR="00B03E2D">
        <w:rPr>
          <w:rFonts w:cs="Arial"/>
        </w:rPr>
        <w:t xml:space="preserve"> Steering</w:t>
      </w:r>
      <w:r w:rsidR="00397D20" w:rsidRPr="00D9250B">
        <w:rPr>
          <w:rFonts w:cs="Arial"/>
        </w:rPr>
        <w:t xml:space="preserve"> Committee of any and all requests</w:t>
      </w:r>
      <w:r w:rsidRPr="00D9250B">
        <w:rPr>
          <w:rFonts w:cs="Arial"/>
        </w:rPr>
        <w:t>;</w:t>
      </w:r>
    </w:p>
    <w:p w:rsidR="00083B72" w:rsidRPr="00D9250B" w:rsidRDefault="00083B72" w:rsidP="00397D20">
      <w:pPr>
        <w:numPr>
          <w:ilvl w:val="0"/>
          <w:numId w:val="6"/>
        </w:numPr>
        <w:spacing w:before="0" w:after="0"/>
        <w:rPr>
          <w:rFonts w:cs="Arial"/>
        </w:rPr>
      </w:pPr>
      <w:r w:rsidRPr="00D9250B">
        <w:rPr>
          <w:rFonts w:cs="Arial"/>
        </w:rPr>
        <w:t>Overseeing audits of adherence to privacy and security provisions by the contracted service provider and by ABDR users, including verification of the currency of the register of service employees involved with support of the ABDR;</w:t>
      </w:r>
    </w:p>
    <w:p w:rsidR="00083B72" w:rsidRPr="00D9250B" w:rsidRDefault="00083B72" w:rsidP="00397D20">
      <w:pPr>
        <w:pStyle w:val="PlainText"/>
        <w:numPr>
          <w:ilvl w:val="0"/>
          <w:numId w:val="6"/>
        </w:numPr>
        <w:spacing w:before="120" w:after="120"/>
        <w:rPr>
          <w:rFonts w:ascii="Arial" w:hAnsi="Arial" w:cs="Arial"/>
          <w:b/>
          <w:sz w:val="24"/>
          <w:szCs w:val="24"/>
        </w:rPr>
      </w:pPr>
      <w:r w:rsidRPr="00D9250B">
        <w:rPr>
          <w:rFonts w:ascii="Arial" w:hAnsi="Arial" w:cs="Arial"/>
          <w:sz w:val="24"/>
          <w:szCs w:val="24"/>
        </w:rPr>
        <w:t>Authorising new ABDR users in established or new categories;</w:t>
      </w:r>
    </w:p>
    <w:p w:rsidR="00397D20" w:rsidRPr="00D9250B" w:rsidRDefault="00397D20" w:rsidP="00397D20">
      <w:pPr>
        <w:pStyle w:val="PlainText"/>
        <w:numPr>
          <w:ilvl w:val="0"/>
          <w:numId w:val="6"/>
        </w:numPr>
        <w:spacing w:before="120" w:after="120"/>
        <w:rPr>
          <w:rFonts w:ascii="Arial" w:hAnsi="Arial" w:cs="Arial"/>
          <w:b/>
          <w:sz w:val="24"/>
          <w:szCs w:val="24"/>
        </w:rPr>
      </w:pPr>
      <w:r w:rsidRPr="00D9250B">
        <w:rPr>
          <w:rFonts w:ascii="Arial" w:hAnsi="Arial" w:cs="Arial"/>
          <w:sz w:val="24"/>
          <w:szCs w:val="24"/>
        </w:rPr>
        <w:t>Establish</w:t>
      </w:r>
      <w:r w:rsidR="00083B72" w:rsidRPr="00D9250B">
        <w:rPr>
          <w:rFonts w:ascii="Arial" w:hAnsi="Arial" w:cs="Arial"/>
          <w:sz w:val="24"/>
          <w:szCs w:val="24"/>
        </w:rPr>
        <w:t>ing</w:t>
      </w:r>
      <w:r w:rsidRPr="00D9250B">
        <w:rPr>
          <w:rFonts w:ascii="Arial" w:hAnsi="Arial" w:cs="Arial"/>
          <w:sz w:val="24"/>
          <w:szCs w:val="24"/>
        </w:rPr>
        <w:t xml:space="preserve"> appropriate processes and systems to capture and effectively investigate any breach of data access and security and privacy provisions.</w:t>
      </w:r>
    </w:p>
    <w:p w:rsidR="00CB6E3E" w:rsidRPr="00D9250B" w:rsidRDefault="00CB6E3E" w:rsidP="00397D20">
      <w:pPr>
        <w:pStyle w:val="PlainText"/>
        <w:numPr>
          <w:ilvl w:val="0"/>
          <w:numId w:val="6"/>
        </w:numPr>
        <w:spacing w:before="120" w:after="120"/>
        <w:rPr>
          <w:rFonts w:ascii="Arial" w:hAnsi="Arial" w:cs="Arial"/>
          <w:sz w:val="24"/>
          <w:szCs w:val="24"/>
        </w:rPr>
      </w:pPr>
      <w:r w:rsidRPr="00D9250B">
        <w:rPr>
          <w:rFonts w:ascii="Arial" w:hAnsi="Arial" w:cs="Arial"/>
          <w:sz w:val="24"/>
          <w:szCs w:val="24"/>
        </w:rPr>
        <w:t>Ensure currency of the ABDR Patient Pamphlet. The ABDR Patient Pamphlet meets the privacy obligations of informing patients of the purpose of the system and use of the data. A copy of the Pamphlet is at Appendix 8</w:t>
      </w:r>
      <w:r w:rsidR="00FD3663" w:rsidRPr="00D9250B">
        <w:rPr>
          <w:rFonts w:ascii="Arial" w:hAnsi="Arial" w:cs="Arial"/>
          <w:sz w:val="24"/>
          <w:szCs w:val="24"/>
        </w:rPr>
        <w:t xml:space="preserve"> of Annex B</w:t>
      </w:r>
      <w:r w:rsidRPr="00D9250B">
        <w:rPr>
          <w:rFonts w:ascii="Arial" w:hAnsi="Arial" w:cs="Arial"/>
          <w:sz w:val="24"/>
          <w:szCs w:val="24"/>
        </w:rPr>
        <w:t>.</w:t>
      </w:r>
    </w:p>
    <w:p w:rsidR="00397D20" w:rsidRPr="00D9250B" w:rsidRDefault="00397D20" w:rsidP="00397D20">
      <w:pPr>
        <w:pStyle w:val="Pa13"/>
        <w:spacing w:before="120" w:after="120"/>
        <w:jc w:val="both"/>
        <w:rPr>
          <w:rFonts w:ascii="Arial" w:hAnsi="Arial" w:cs="Arial"/>
          <w:b/>
        </w:rPr>
      </w:pPr>
      <w:r w:rsidRPr="00D9250B">
        <w:rPr>
          <w:rFonts w:ascii="Arial" w:hAnsi="Arial" w:cs="Arial"/>
          <w:b/>
        </w:rPr>
        <w:t xml:space="preserve">Other </w:t>
      </w:r>
      <w:r w:rsidR="00083B72" w:rsidRPr="00D9250B">
        <w:rPr>
          <w:rFonts w:ascii="Arial" w:hAnsi="Arial" w:cs="Arial"/>
          <w:b/>
        </w:rPr>
        <w:t>o</w:t>
      </w:r>
      <w:r w:rsidRPr="00D9250B">
        <w:rPr>
          <w:rFonts w:ascii="Arial" w:hAnsi="Arial" w:cs="Arial"/>
          <w:b/>
        </w:rPr>
        <w:t xml:space="preserve">perational </w:t>
      </w:r>
      <w:r w:rsidR="00083B72" w:rsidRPr="00D9250B">
        <w:rPr>
          <w:rFonts w:ascii="Arial" w:hAnsi="Arial" w:cs="Arial"/>
          <w:b/>
        </w:rPr>
        <w:t>p</w:t>
      </w:r>
      <w:r w:rsidRPr="00D9250B">
        <w:rPr>
          <w:rFonts w:ascii="Arial" w:hAnsi="Arial" w:cs="Arial"/>
          <w:b/>
        </w:rPr>
        <w:t>arameters</w:t>
      </w:r>
    </w:p>
    <w:p w:rsidR="00083B72" w:rsidRPr="00D9250B" w:rsidRDefault="00083B72"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This includes:</w:t>
      </w:r>
    </w:p>
    <w:p w:rsidR="00397D20" w:rsidRPr="00D9250B" w:rsidRDefault="00397D20" w:rsidP="00397D20">
      <w:pPr>
        <w:numPr>
          <w:ilvl w:val="0"/>
          <w:numId w:val="6"/>
        </w:numPr>
        <w:spacing w:before="0" w:after="0"/>
        <w:rPr>
          <w:rFonts w:cs="Arial"/>
        </w:rPr>
      </w:pPr>
      <w:r w:rsidRPr="00D9250B">
        <w:rPr>
          <w:rFonts w:cs="Arial"/>
        </w:rPr>
        <w:t>Provid</w:t>
      </w:r>
      <w:r w:rsidR="00083B72" w:rsidRPr="00D9250B">
        <w:rPr>
          <w:rFonts w:cs="Arial"/>
        </w:rPr>
        <w:t>ing</w:t>
      </w:r>
      <w:r w:rsidRPr="00D9250B">
        <w:rPr>
          <w:rFonts w:cs="Arial"/>
        </w:rPr>
        <w:t xml:space="preserve"> a forum for engagement by all stakeholders on the operation and performance of the ABDR, including a conduit for communication between </w:t>
      </w:r>
      <w:r w:rsidR="00083B72" w:rsidRPr="00D9250B">
        <w:rPr>
          <w:rFonts w:cs="Arial"/>
        </w:rPr>
        <w:t xml:space="preserve">stakeholders and </w:t>
      </w:r>
      <w:r w:rsidRPr="00D9250B">
        <w:rPr>
          <w:rFonts w:cs="Arial"/>
        </w:rPr>
        <w:t>the NBA General Mana</w:t>
      </w:r>
      <w:r w:rsidR="00083B72" w:rsidRPr="00D9250B">
        <w:rPr>
          <w:rFonts w:cs="Arial"/>
        </w:rPr>
        <w:t>ger and senior management staff;</w:t>
      </w:r>
    </w:p>
    <w:p w:rsidR="00397D20" w:rsidRPr="00D9250B" w:rsidRDefault="00397D20" w:rsidP="00397D20">
      <w:pPr>
        <w:numPr>
          <w:ilvl w:val="0"/>
          <w:numId w:val="6"/>
        </w:numPr>
        <w:spacing w:before="0" w:after="0"/>
        <w:rPr>
          <w:rFonts w:cs="Arial"/>
        </w:rPr>
      </w:pPr>
      <w:r w:rsidRPr="00D9250B">
        <w:rPr>
          <w:rFonts w:cs="Arial"/>
        </w:rPr>
        <w:t>Advis</w:t>
      </w:r>
      <w:r w:rsidR="00083B72" w:rsidRPr="00D9250B">
        <w:rPr>
          <w:rFonts w:cs="Arial"/>
        </w:rPr>
        <w:t>ing</w:t>
      </w:r>
      <w:r w:rsidRPr="00D9250B">
        <w:rPr>
          <w:rFonts w:cs="Arial"/>
        </w:rPr>
        <w:t xml:space="preserve"> the NBA General Manager of the adequacy of contractual and associated resour</w:t>
      </w:r>
      <w:r w:rsidR="00083B72" w:rsidRPr="00D9250B">
        <w:rPr>
          <w:rFonts w:cs="Arial"/>
        </w:rPr>
        <w:t>c</w:t>
      </w:r>
      <w:r w:rsidRPr="00D9250B">
        <w:rPr>
          <w:rFonts w:cs="Arial"/>
        </w:rPr>
        <w:t>ing arrangements, including resourcin</w:t>
      </w:r>
      <w:r w:rsidR="00083B72" w:rsidRPr="00D9250B">
        <w:rPr>
          <w:rFonts w:cs="Arial"/>
        </w:rPr>
        <w:t>g for data managers;</w:t>
      </w:r>
    </w:p>
    <w:p w:rsidR="00397D20" w:rsidRPr="00D9250B" w:rsidRDefault="00397D20" w:rsidP="00397D20">
      <w:pPr>
        <w:numPr>
          <w:ilvl w:val="0"/>
          <w:numId w:val="6"/>
        </w:numPr>
        <w:spacing w:before="0" w:after="0"/>
        <w:rPr>
          <w:rFonts w:cs="Arial"/>
        </w:rPr>
      </w:pPr>
      <w:r w:rsidRPr="00D9250B">
        <w:rPr>
          <w:rFonts w:cs="Arial"/>
        </w:rPr>
        <w:t>Advis</w:t>
      </w:r>
      <w:r w:rsidR="00083B72" w:rsidRPr="00D9250B">
        <w:rPr>
          <w:rFonts w:cs="Arial"/>
        </w:rPr>
        <w:t>ing</w:t>
      </w:r>
      <w:r w:rsidRPr="00D9250B">
        <w:rPr>
          <w:rFonts w:cs="Arial"/>
        </w:rPr>
        <w:t xml:space="preserve"> the NBA General Manager on the adequacy and areas of improvement of business processes to ensure a minimum data set</w:t>
      </w:r>
      <w:r w:rsidR="00E67E1C" w:rsidRPr="00D9250B">
        <w:rPr>
          <w:rFonts w:cs="Arial"/>
        </w:rPr>
        <w:t xml:space="preserve">, refer Appendix </w:t>
      </w:r>
      <w:r w:rsidR="00F60D8E">
        <w:rPr>
          <w:rFonts w:cs="Arial"/>
        </w:rPr>
        <w:t>4</w:t>
      </w:r>
      <w:r w:rsidR="00E67E1C" w:rsidRPr="00D9250B">
        <w:rPr>
          <w:rFonts w:cs="Arial"/>
        </w:rPr>
        <w:t xml:space="preserve"> of Annex B,</w:t>
      </w:r>
      <w:r w:rsidRPr="00D9250B">
        <w:rPr>
          <w:rFonts w:cs="Arial"/>
        </w:rPr>
        <w:t xml:space="preserve"> is provided for input into </w:t>
      </w:r>
      <w:r w:rsidR="00083B72" w:rsidRPr="00D9250B">
        <w:rPr>
          <w:rFonts w:cs="Arial"/>
        </w:rPr>
        <w:t>the ABDR for all product issued;</w:t>
      </w:r>
    </w:p>
    <w:p w:rsidR="00397D20" w:rsidRPr="00D9250B" w:rsidRDefault="00397D20" w:rsidP="00D9250B">
      <w:pPr>
        <w:numPr>
          <w:ilvl w:val="0"/>
          <w:numId w:val="6"/>
        </w:numPr>
        <w:spacing w:before="0" w:after="0"/>
        <w:rPr>
          <w:rFonts w:cs="Arial"/>
        </w:rPr>
      </w:pPr>
      <w:r w:rsidRPr="00D9250B">
        <w:rPr>
          <w:rFonts w:cs="Arial"/>
        </w:rPr>
        <w:t>Identify</w:t>
      </w:r>
      <w:r w:rsidR="00083B72" w:rsidRPr="00D9250B">
        <w:rPr>
          <w:rFonts w:cs="Arial"/>
        </w:rPr>
        <w:t xml:space="preserve">ing </w:t>
      </w:r>
      <w:r w:rsidRPr="00D9250B">
        <w:rPr>
          <w:rFonts w:cs="Arial"/>
        </w:rPr>
        <w:t>and provid</w:t>
      </w:r>
      <w:r w:rsidR="00083B72" w:rsidRPr="00D9250B">
        <w:rPr>
          <w:rFonts w:cs="Arial"/>
        </w:rPr>
        <w:t>ing</w:t>
      </w:r>
      <w:r w:rsidRPr="00D9250B">
        <w:rPr>
          <w:rFonts w:cs="Arial"/>
        </w:rPr>
        <w:t xml:space="preserve"> advice on best practice in business processes</w:t>
      </w:r>
      <w:r w:rsidR="00D81021">
        <w:rPr>
          <w:rFonts w:cs="Arial"/>
        </w:rPr>
        <w:t>.</w:t>
      </w:r>
    </w:p>
    <w:p w:rsidR="00083B72" w:rsidRPr="00D9250B" w:rsidRDefault="00083B72" w:rsidP="00083B72">
      <w:pPr>
        <w:pStyle w:val="PlainText"/>
        <w:spacing w:before="240" w:after="120"/>
        <w:rPr>
          <w:rFonts w:ascii="Arial" w:hAnsi="Arial" w:cs="Arial"/>
          <w:b/>
          <w:sz w:val="28"/>
          <w:szCs w:val="28"/>
        </w:rPr>
      </w:pPr>
      <w:r w:rsidRPr="00D9250B">
        <w:rPr>
          <w:rFonts w:ascii="Arial" w:hAnsi="Arial" w:cs="Arial"/>
          <w:b/>
          <w:sz w:val="28"/>
          <w:szCs w:val="28"/>
        </w:rPr>
        <w:t>Operating procedures for the Steering Committee</w:t>
      </w:r>
    </w:p>
    <w:p w:rsidR="00083B72" w:rsidRPr="00D9250B" w:rsidRDefault="00083B72" w:rsidP="0018224A">
      <w:pPr>
        <w:pStyle w:val="PlainText"/>
        <w:numPr>
          <w:ilvl w:val="0"/>
          <w:numId w:val="14"/>
        </w:numPr>
        <w:spacing w:before="120" w:after="120"/>
        <w:rPr>
          <w:rFonts w:ascii="Arial" w:hAnsi="Arial" w:cs="Arial"/>
          <w:sz w:val="24"/>
          <w:szCs w:val="24"/>
        </w:rPr>
      </w:pPr>
      <w:r w:rsidRPr="00D9250B">
        <w:rPr>
          <w:rFonts w:ascii="Arial" w:hAnsi="Arial" w:cs="Arial"/>
          <w:sz w:val="24"/>
          <w:szCs w:val="24"/>
        </w:rPr>
        <w:t xml:space="preserve">The Steering Committee </w:t>
      </w:r>
      <w:r w:rsidR="00D44274" w:rsidRPr="00D9250B">
        <w:rPr>
          <w:rFonts w:ascii="Arial" w:hAnsi="Arial" w:cs="Arial"/>
          <w:sz w:val="24"/>
          <w:szCs w:val="24"/>
        </w:rPr>
        <w:t>will</w:t>
      </w:r>
      <w:r w:rsidRPr="00D9250B">
        <w:rPr>
          <w:rFonts w:ascii="Arial" w:hAnsi="Arial" w:cs="Arial"/>
          <w:sz w:val="24"/>
          <w:szCs w:val="24"/>
        </w:rPr>
        <w:t xml:space="preserve"> carry out its roles and responsibilities through:</w:t>
      </w:r>
    </w:p>
    <w:p w:rsidR="00083B72" w:rsidRPr="00D9250B" w:rsidRDefault="00083B72"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conducting meetings, based on agenda and papers prepared after consultation between the Chair and the NBA, and conducting out of session activities;</w:t>
      </w:r>
    </w:p>
    <w:p w:rsidR="00083B72" w:rsidRPr="00D9250B" w:rsidRDefault="00083B72"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making recommendations to the NBA in relation to the ABDR;</w:t>
      </w:r>
    </w:p>
    <w:p w:rsidR="00083B72" w:rsidRPr="00D9250B" w:rsidRDefault="00083B72"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 xml:space="preserve">considering, and </w:t>
      </w:r>
      <w:r w:rsidR="00D44274" w:rsidRPr="00D9250B">
        <w:rPr>
          <w:rFonts w:ascii="Arial" w:hAnsi="Arial" w:cs="Arial"/>
          <w:sz w:val="24"/>
          <w:szCs w:val="24"/>
        </w:rPr>
        <w:t>recommending</w:t>
      </w:r>
      <w:r w:rsidRPr="00D9250B">
        <w:rPr>
          <w:rFonts w:ascii="Arial" w:hAnsi="Arial" w:cs="Arial"/>
          <w:sz w:val="24"/>
          <w:szCs w:val="24"/>
        </w:rPr>
        <w:t xml:space="preserve"> to the NBA, policies, procedures, reports and other documentation, prepared directly by Steering Committee members, or by the NBA or other parties;</w:t>
      </w:r>
    </w:p>
    <w:p w:rsidR="00083B72" w:rsidRPr="00D9250B" w:rsidRDefault="00083B72"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requesting attendance at meetings, provision of information, or provision of documents, by the NBA, any ABDR stakeholder or service provider, or other parties;</w:t>
      </w:r>
    </w:p>
    <w:p w:rsidR="00083B72" w:rsidRPr="00D9250B" w:rsidRDefault="00083B72"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liaison with ABDR stakeholders or other parties (subject to consultation with the NBA and relevant conflict of interest and confidentiality considerations); and</w:t>
      </w:r>
    </w:p>
    <w:p w:rsidR="00083B72" w:rsidRPr="00D9250B" w:rsidRDefault="00083B72" w:rsidP="0018224A">
      <w:pPr>
        <w:pStyle w:val="PlainText"/>
        <w:numPr>
          <w:ilvl w:val="1"/>
          <w:numId w:val="14"/>
        </w:numPr>
        <w:tabs>
          <w:tab w:val="clear" w:pos="1080"/>
        </w:tabs>
        <w:spacing w:before="120" w:after="120"/>
        <w:ind w:left="720"/>
        <w:rPr>
          <w:rFonts w:ascii="Arial" w:hAnsi="Arial" w:cs="Arial"/>
          <w:sz w:val="24"/>
          <w:szCs w:val="24"/>
        </w:rPr>
      </w:pPr>
      <w:proofErr w:type="gramStart"/>
      <w:r w:rsidRPr="00D9250B">
        <w:rPr>
          <w:rFonts w:ascii="Arial" w:hAnsi="Arial" w:cs="Arial"/>
          <w:sz w:val="24"/>
          <w:szCs w:val="24"/>
        </w:rPr>
        <w:t>requesting</w:t>
      </w:r>
      <w:proofErr w:type="gramEnd"/>
      <w:r w:rsidRPr="00D9250B">
        <w:rPr>
          <w:rFonts w:ascii="Arial" w:hAnsi="Arial" w:cs="Arial"/>
          <w:sz w:val="24"/>
          <w:szCs w:val="24"/>
        </w:rPr>
        <w:t xml:space="preserve"> relevant advice (including technical, legal, business or other professional advice) through the NBA.</w:t>
      </w:r>
    </w:p>
    <w:p w:rsidR="00083B72" w:rsidRPr="00D9250B" w:rsidRDefault="00083B72" w:rsidP="00B51ABC">
      <w:pPr>
        <w:pStyle w:val="PlainText"/>
        <w:keepNext/>
        <w:tabs>
          <w:tab w:val="left" w:pos="6120"/>
        </w:tabs>
        <w:spacing w:before="240" w:after="120"/>
        <w:rPr>
          <w:rFonts w:ascii="Arial" w:hAnsi="Arial" w:cs="Arial"/>
          <w:b/>
          <w:i/>
          <w:sz w:val="24"/>
          <w:szCs w:val="24"/>
        </w:rPr>
      </w:pPr>
      <w:r w:rsidRPr="00D9250B">
        <w:rPr>
          <w:rFonts w:ascii="Arial" w:hAnsi="Arial" w:cs="Arial"/>
          <w:b/>
          <w:i/>
          <w:sz w:val="24"/>
          <w:szCs w:val="24"/>
        </w:rPr>
        <w:lastRenderedPageBreak/>
        <w:t>Decision making</w:t>
      </w:r>
    </w:p>
    <w:p w:rsidR="00083B72" w:rsidRDefault="00083B7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The Steering Committee w</w:t>
      </w:r>
      <w:r w:rsidR="009A4E7E" w:rsidRPr="00D9250B">
        <w:rPr>
          <w:rFonts w:ascii="Arial" w:hAnsi="Arial" w:cs="Arial"/>
          <w:sz w:val="24"/>
          <w:szCs w:val="24"/>
        </w:rPr>
        <w:t>ill operate</w:t>
      </w:r>
      <w:r w:rsidRPr="00D9250B">
        <w:rPr>
          <w:rFonts w:ascii="Arial" w:hAnsi="Arial" w:cs="Arial"/>
          <w:sz w:val="24"/>
          <w:szCs w:val="24"/>
        </w:rPr>
        <w:t xml:space="preserve"> on a consensus basis.  Where consensus cannot be reached, the divergent views are to be referred to the NBA General Manager</w:t>
      </w:r>
      <w:r w:rsidR="00D44274" w:rsidRPr="00D9250B">
        <w:rPr>
          <w:rFonts w:ascii="Arial" w:hAnsi="Arial" w:cs="Arial"/>
          <w:sz w:val="24"/>
          <w:szCs w:val="24"/>
        </w:rPr>
        <w:t xml:space="preserve"> for decision or for guidance</w:t>
      </w:r>
      <w:r w:rsidRPr="00D9250B">
        <w:rPr>
          <w:rFonts w:ascii="Arial" w:hAnsi="Arial" w:cs="Arial"/>
          <w:sz w:val="24"/>
          <w:szCs w:val="24"/>
        </w:rPr>
        <w:t>.</w:t>
      </w:r>
    </w:p>
    <w:p w:rsidR="00781B2C" w:rsidRPr="00D9250B" w:rsidRDefault="00781B2C" w:rsidP="00781B2C">
      <w:pPr>
        <w:pStyle w:val="PlainText"/>
        <w:tabs>
          <w:tab w:val="left" w:pos="709"/>
        </w:tabs>
        <w:spacing w:before="120" w:after="120"/>
        <w:rPr>
          <w:rFonts w:ascii="Arial" w:hAnsi="Arial" w:cs="Arial"/>
          <w:sz w:val="24"/>
          <w:szCs w:val="24"/>
        </w:rPr>
      </w:pPr>
    </w:p>
    <w:p w:rsidR="00083B72" w:rsidRPr="00D9250B" w:rsidRDefault="00083B72" w:rsidP="00083B72">
      <w:pPr>
        <w:pStyle w:val="PlainText"/>
        <w:tabs>
          <w:tab w:val="left" w:pos="6120"/>
        </w:tabs>
        <w:spacing w:before="120" w:after="120"/>
        <w:rPr>
          <w:rFonts w:ascii="Arial" w:hAnsi="Arial" w:cs="Arial"/>
          <w:b/>
          <w:i/>
          <w:sz w:val="24"/>
          <w:szCs w:val="24"/>
        </w:rPr>
      </w:pPr>
      <w:r w:rsidRPr="00D9250B">
        <w:rPr>
          <w:rFonts w:ascii="Arial" w:hAnsi="Arial" w:cs="Arial"/>
          <w:b/>
          <w:i/>
          <w:sz w:val="24"/>
          <w:szCs w:val="24"/>
        </w:rPr>
        <w:t>Implementation of Steering Committee outcomes</w:t>
      </w:r>
    </w:p>
    <w:p w:rsidR="00083B72" w:rsidRPr="00D9250B" w:rsidRDefault="00083B7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The Steering Committee is advisory in nature, and does not have any legal identity or capacity to implement operational outcomes separately from the NBA.</w:t>
      </w:r>
    </w:p>
    <w:p w:rsidR="00083B72" w:rsidRPr="00D9250B" w:rsidRDefault="00083B7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The outcomes, requests and recommendations of the Steering Committee in relation to ABDR require implementation by the NBA.  On a routine basis, the main point of liaison between the Steering Committee and the NBA will be the NBA representative on the Steering Committee.</w:t>
      </w:r>
    </w:p>
    <w:p w:rsidR="00083B72" w:rsidRPr="00D9250B" w:rsidRDefault="00083B7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Direct authority for the operational management of the ABDR, including in relation to expenditure of government funds, management of NBA personnel, management of contracts or funding agreements in relation to ABDR support functions, and final determination of policy or compliance matters, lies with the </w:t>
      </w:r>
      <w:r w:rsidR="00D37CF1">
        <w:rPr>
          <w:rFonts w:ascii="Arial" w:hAnsi="Arial" w:cs="Arial"/>
          <w:sz w:val="24"/>
          <w:szCs w:val="24"/>
        </w:rPr>
        <w:t xml:space="preserve">NBA </w:t>
      </w:r>
      <w:r w:rsidRPr="00D9250B">
        <w:rPr>
          <w:rFonts w:ascii="Arial" w:hAnsi="Arial" w:cs="Arial"/>
          <w:sz w:val="24"/>
          <w:szCs w:val="24"/>
        </w:rPr>
        <w:t>General Manager or other duly authorised officers of the NBA.</w:t>
      </w:r>
    </w:p>
    <w:p w:rsidR="00083B72" w:rsidRPr="00D9250B" w:rsidRDefault="00083B7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The Chair of the Steering Committee </w:t>
      </w:r>
      <w:r w:rsidR="00D37CF1">
        <w:rPr>
          <w:rFonts w:ascii="Arial" w:hAnsi="Arial" w:cs="Arial"/>
          <w:sz w:val="24"/>
          <w:szCs w:val="24"/>
        </w:rPr>
        <w:t xml:space="preserve">has access to and </w:t>
      </w:r>
      <w:r w:rsidRPr="00D9250B">
        <w:rPr>
          <w:rFonts w:ascii="Arial" w:hAnsi="Arial" w:cs="Arial"/>
          <w:sz w:val="24"/>
          <w:szCs w:val="24"/>
        </w:rPr>
        <w:t xml:space="preserve">may liaise with the </w:t>
      </w:r>
      <w:r w:rsidR="00D37CF1">
        <w:rPr>
          <w:rFonts w:ascii="Arial" w:hAnsi="Arial" w:cs="Arial"/>
          <w:sz w:val="24"/>
          <w:szCs w:val="24"/>
        </w:rPr>
        <w:t xml:space="preserve">NBA </w:t>
      </w:r>
      <w:r w:rsidRPr="00D9250B">
        <w:rPr>
          <w:rFonts w:ascii="Arial" w:hAnsi="Arial" w:cs="Arial"/>
          <w:sz w:val="24"/>
          <w:szCs w:val="24"/>
        </w:rPr>
        <w:t>General Manager and the NBA representative at any time.</w:t>
      </w:r>
    </w:p>
    <w:p w:rsidR="00083B72" w:rsidRDefault="00083B7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In the ordinary course, the NBA will implement the outcomes, requests and recommendations of the Steering Committee.  Where the NBA decides that full implementation is not appropriate, the NBA will (unless it is not practicable or appropriate to do so) explain to the Steering Committee how the outcome, request or recommendation was taken into account by the NBA and why it was not fully implemented.</w:t>
      </w:r>
    </w:p>
    <w:p w:rsidR="00525209" w:rsidRPr="00D9250B" w:rsidRDefault="00525209" w:rsidP="00525209">
      <w:pPr>
        <w:pStyle w:val="Heading2"/>
        <w:keepNext w:val="0"/>
        <w:rPr>
          <w:i w:val="0"/>
          <w:szCs w:val="24"/>
        </w:rPr>
      </w:pPr>
      <w:bookmarkStart w:id="22" w:name="_Toc472926166"/>
      <w:bookmarkStart w:id="23" w:name="_Toc472926328"/>
      <w:r>
        <w:rPr>
          <w:i w:val="0"/>
          <w:szCs w:val="24"/>
        </w:rPr>
        <w:t>Dispute Resolution</w:t>
      </w:r>
    </w:p>
    <w:p w:rsidR="00525209" w:rsidRPr="00525209" w:rsidRDefault="00525209" w:rsidP="0018224A">
      <w:pPr>
        <w:pStyle w:val="PlainText"/>
        <w:numPr>
          <w:ilvl w:val="0"/>
          <w:numId w:val="14"/>
        </w:numPr>
        <w:tabs>
          <w:tab w:val="left" w:pos="709"/>
        </w:tabs>
        <w:spacing w:before="120" w:after="120"/>
        <w:rPr>
          <w:rFonts w:ascii="Arial" w:hAnsi="Arial" w:cs="Arial"/>
          <w:sz w:val="24"/>
          <w:szCs w:val="24"/>
        </w:rPr>
      </w:pPr>
      <w:r w:rsidRPr="00525209">
        <w:rPr>
          <w:rFonts w:ascii="Arial" w:hAnsi="Arial" w:cs="Arial"/>
          <w:sz w:val="24"/>
          <w:szCs w:val="24"/>
        </w:rPr>
        <w:t>In recognition of the importance of maintaining relationships and collaboration, the members of the Steering Committee and the NBA undertake to use all reasonable efforts in good faith to resolve any disputes which may arise between them in connection with this charter.</w:t>
      </w:r>
      <w:bookmarkEnd w:id="22"/>
      <w:bookmarkEnd w:id="23"/>
    </w:p>
    <w:p w:rsidR="00525209" w:rsidRPr="00525209" w:rsidRDefault="00525209" w:rsidP="0018224A">
      <w:pPr>
        <w:pStyle w:val="PlainText"/>
        <w:numPr>
          <w:ilvl w:val="0"/>
          <w:numId w:val="14"/>
        </w:numPr>
        <w:tabs>
          <w:tab w:val="left" w:pos="709"/>
        </w:tabs>
        <w:spacing w:before="120" w:after="120"/>
        <w:rPr>
          <w:rFonts w:ascii="Arial" w:hAnsi="Arial" w:cs="Arial"/>
          <w:sz w:val="24"/>
          <w:szCs w:val="24"/>
        </w:rPr>
      </w:pPr>
      <w:r w:rsidRPr="00525209">
        <w:rPr>
          <w:rFonts w:ascii="Arial" w:hAnsi="Arial" w:cs="Arial"/>
          <w:sz w:val="24"/>
          <w:szCs w:val="24"/>
        </w:rPr>
        <w:t xml:space="preserve">Any difficulties or disputes which arise should be directed in the first instance to the Chair of the Steering Committee, who may act to resolve the difficulty or dispute, or may refer the matter on to the NBA General Manager, for resolution. If the parties are unable to determine a dispute resolution process, they may agree to refer the matter to an appropriately qualified independent expert. </w:t>
      </w:r>
    </w:p>
    <w:p w:rsidR="00083B72" w:rsidRPr="00D9250B" w:rsidRDefault="00083B72" w:rsidP="00083B72">
      <w:pPr>
        <w:pStyle w:val="Heading2"/>
        <w:keepNext w:val="0"/>
        <w:rPr>
          <w:i w:val="0"/>
          <w:szCs w:val="24"/>
        </w:rPr>
      </w:pPr>
      <w:r w:rsidRPr="00D9250B">
        <w:rPr>
          <w:i w:val="0"/>
          <w:szCs w:val="24"/>
        </w:rPr>
        <w:t>Role of Chair</w:t>
      </w:r>
    </w:p>
    <w:p w:rsidR="00083B72" w:rsidRPr="00D9250B" w:rsidRDefault="00083B7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The Chair’s main role is to provide leadership to the </w:t>
      </w:r>
      <w:r w:rsidR="00B03E2D">
        <w:rPr>
          <w:rFonts w:ascii="Arial" w:hAnsi="Arial" w:cs="Arial"/>
          <w:sz w:val="24"/>
          <w:szCs w:val="24"/>
        </w:rPr>
        <w:t xml:space="preserve">Steering </w:t>
      </w:r>
      <w:r w:rsidRPr="00D9250B">
        <w:rPr>
          <w:rFonts w:ascii="Arial" w:hAnsi="Arial" w:cs="Arial"/>
          <w:sz w:val="24"/>
          <w:szCs w:val="24"/>
        </w:rPr>
        <w:t xml:space="preserve">Committee, and to ensure </w:t>
      </w:r>
      <w:r w:rsidR="00FB0852" w:rsidRPr="00D9250B">
        <w:rPr>
          <w:rFonts w:ascii="Arial" w:hAnsi="Arial" w:cs="Arial"/>
          <w:sz w:val="24"/>
          <w:szCs w:val="24"/>
        </w:rPr>
        <w:t xml:space="preserve">that </w:t>
      </w:r>
      <w:r w:rsidRPr="00D9250B">
        <w:rPr>
          <w:rFonts w:ascii="Arial" w:hAnsi="Arial" w:cs="Arial"/>
          <w:sz w:val="24"/>
          <w:szCs w:val="24"/>
        </w:rPr>
        <w:t xml:space="preserve">the </w:t>
      </w:r>
      <w:r w:rsidR="00FB0852" w:rsidRPr="00D9250B">
        <w:rPr>
          <w:rFonts w:ascii="Arial" w:hAnsi="Arial" w:cs="Arial"/>
          <w:sz w:val="24"/>
          <w:szCs w:val="24"/>
        </w:rPr>
        <w:t xml:space="preserve">Steering </w:t>
      </w:r>
      <w:r w:rsidRPr="00D9250B">
        <w:rPr>
          <w:rFonts w:ascii="Arial" w:hAnsi="Arial" w:cs="Arial"/>
          <w:sz w:val="24"/>
          <w:szCs w:val="24"/>
        </w:rPr>
        <w:t xml:space="preserve">Committee carries out its functions effectively and efficiently. Together with the NBA Secretariat, the Chair will participate in the development of </w:t>
      </w:r>
      <w:r w:rsidR="00FB0852" w:rsidRPr="00D9250B">
        <w:rPr>
          <w:rFonts w:ascii="Arial" w:hAnsi="Arial" w:cs="Arial"/>
          <w:sz w:val="24"/>
          <w:szCs w:val="24"/>
        </w:rPr>
        <w:t xml:space="preserve">the Steering Committee </w:t>
      </w:r>
      <w:r w:rsidRPr="00D9250B">
        <w:rPr>
          <w:rFonts w:ascii="Arial" w:hAnsi="Arial" w:cs="Arial"/>
          <w:sz w:val="24"/>
          <w:szCs w:val="24"/>
        </w:rPr>
        <w:t>agenda and to ensure meetings are properly</w:t>
      </w:r>
      <w:r w:rsidR="00FB0852" w:rsidRPr="00D9250B">
        <w:rPr>
          <w:rFonts w:ascii="Arial" w:hAnsi="Arial" w:cs="Arial"/>
          <w:sz w:val="24"/>
          <w:szCs w:val="24"/>
        </w:rPr>
        <w:t xml:space="preserve"> run</w:t>
      </w:r>
      <w:r w:rsidRPr="00D9250B">
        <w:rPr>
          <w:rFonts w:ascii="Arial" w:hAnsi="Arial" w:cs="Arial"/>
          <w:sz w:val="24"/>
          <w:szCs w:val="24"/>
        </w:rPr>
        <w:t>.</w:t>
      </w:r>
    </w:p>
    <w:p w:rsidR="00083B72" w:rsidRPr="00D9250B" w:rsidRDefault="00083B7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The Chair’s roles and responsibilities are as follows:</w:t>
      </w:r>
    </w:p>
    <w:p w:rsidR="00083B72" w:rsidRPr="00D9250B" w:rsidRDefault="00083B72" w:rsidP="0018224A">
      <w:pPr>
        <w:numPr>
          <w:ilvl w:val="0"/>
          <w:numId w:val="15"/>
        </w:numPr>
        <w:tabs>
          <w:tab w:val="clear" w:pos="1080"/>
          <w:tab w:val="num" w:pos="720"/>
        </w:tabs>
        <w:ind w:left="720"/>
        <w:rPr>
          <w:rFonts w:cs="Arial"/>
        </w:rPr>
      </w:pPr>
      <w:r w:rsidRPr="00D9250B">
        <w:rPr>
          <w:rFonts w:cs="Arial"/>
        </w:rPr>
        <w:t xml:space="preserve">Ensure the proper and efficient conduct of </w:t>
      </w:r>
      <w:r w:rsidR="00FB0852" w:rsidRPr="00D9250B">
        <w:rPr>
          <w:rFonts w:cs="Arial"/>
        </w:rPr>
        <w:t xml:space="preserve">the Steering </w:t>
      </w:r>
      <w:r w:rsidRPr="00D9250B">
        <w:rPr>
          <w:rFonts w:cs="Arial"/>
        </w:rPr>
        <w:t>Committee meetings.</w:t>
      </w:r>
    </w:p>
    <w:p w:rsidR="00083B72" w:rsidRPr="00D9250B" w:rsidRDefault="00083B72" w:rsidP="0018224A">
      <w:pPr>
        <w:numPr>
          <w:ilvl w:val="0"/>
          <w:numId w:val="15"/>
        </w:numPr>
        <w:tabs>
          <w:tab w:val="clear" w:pos="1080"/>
          <w:tab w:val="num" w:pos="720"/>
        </w:tabs>
        <w:ind w:left="720"/>
        <w:rPr>
          <w:rFonts w:cs="Arial"/>
        </w:rPr>
      </w:pPr>
      <w:r w:rsidRPr="00D9250B">
        <w:rPr>
          <w:rFonts w:cs="Arial"/>
        </w:rPr>
        <w:lastRenderedPageBreak/>
        <w:t xml:space="preserve">Develop and manage a work plan for the </w:t>
      </w:r>
      <w:r w:rsidR="00FB0852" w:rsidRPr="00D9250B">
        <w:rPr>
          <w:rFonts w:cs="Arial"/>
        </w:rPr>
        <w:t xml:space="preserve">Steering </w:t>
      </w:r>
      <w:r w:rsidRPr="00D9250B">
        <w:rPr>
          <w:rFonts w:cs="Arial"/>
        </w:rPr>
        <w:t xml:space="preserve">Committee to ensure </w:t>
      </w:r>
      <w:r w:rsidR="00FB0852" w:rsidRPr="00D9250B">
        <w:rPr>
          <w:rFonts w:cs="Arial"/>
        </w:rPr>
        <w:t xml:space="preserve">Steering </w:t>
      </w:r>
      <w:r w:rsidRPr="00D9250B">
        <w:rPr>
          <w:rFonts w:cs="Arial"/>
        </w:rPr>
        <w:t>Committee responsibilities are effectively met.</w:t>
      </w:r>
    </w:p>
    <w:p w:rsidR="00083B72" w:rsidRPr="00D9250B" w:rsidRDefault="00083B72" w:rsidP="0018224A">
      <w:pPr>
        <w:numPr>
          <w:ilvl w:val="0"/>
          <w:numId w:val="15"/>
        </w:numPr>
        <w:tabs>
          <w:tab w:val="clear" w:pos="1080"/>
          <w:tab w:val="num" w:pos="720"/>
        </w:tabs>
        <w:ind w:left="720"/>
        <w:rPr>
          <w:rFonts w:cs="Arial"/>
        </w:rPr>
      </w:pPr>
      <w:r w:rsidRPr="00D9250B">
        <w:rPr>
          <w:rFonts w:cs="Arial"/>
        </w:rPr>
        <w:t>Manage conflict of interest, confidentiality or other probity issues as necessary.</w:t>
      </w:r>
    </w:p>
    <w:p w:rsidR="00083B72" w:rsidRPr="00D9250B" w:rsidRDefault="00083B72" w:rsidP="0018224A">
      <w:pPr>
        <w:numPr>
          <w:ilvl w:val="0"/>
          <w:numId w:val="15"/>
        </w:numPr>
        <w:tabs>
          <w:tab w:val="clear" w:pos="1080"/>
          <w:tab w:val="num" w:pos="720"/>
        </w:tabs>
        <w:ind w:left="720"/>
        <w:rPr>
          <w:rFonts w:cs="Arial"/>
        </w:rPr>
      </w:pPr>
      <w:r w:rsidRPr="00D9250B">
        <w:rPr>
          <w:rFonts w:cs="Arial"/>
        </w:rPr>
        <w:t xml:space="preserve">Liaise with the NBA General Manager and Secretariat to ensure the </w:t>
      </w:r>
      <w:r w:rsidR="00FB0852" w:rsidRPr="00D9250B">
        <w:rPr>
          <w:rFonts w:cs="Arial"/>
        </w:rPr>
        <w:t xml:space="preserve">Steering </w:t>
      </w:r>
      <w:r w:rsidRPr="00D9250B">
        <w:rPr>
          <w:rFonts w:cs="Arial"/>
        </w:rPr>
        <w:t xml:space="preserve">Committee has the necessary information and resources to undertake its responsibilities effectively.  </w:t>
      </w:r>
    </w:p>
    <w:p w:rsidR="00083B72" w:rsidRPr="00D9250B" w:rsidRDefault="00083B72" w:rsidP="0018224A">
      <w:pPr>
        <w:numPr>
          <w:ilvl w:val="0"/>
          <w:numId w:val="15"/>
        </w:numPr>
        <w:tabs>
          <w:tab w:val="clear" w:pos="1080"/>
          <w:tab w:val="num" w:pos="720"/>
        </w:tabs>
        <w:ind w:left="720"/>
        <w:rPr>
          <w:rFonts w:cs="Arial"/>
        </w:rPr>
      </w:pPr>
      <w:r w:rsidRPr="00D9250B">
        <w:rPr>
          <w:rFonts w:cs="Arial"/>
        </w:rPr>
        <w:t xml:space="preserve">Coordinate and manage out of session activities of the </w:t>
      </w:r>
      <w:r w:rsidR="00FB0852" w:rsidRPr="00D9250B">
        <w:rPr>
          <w:rFonts w:cs="Arial"/>
        </w:rPr>
        <w:t xml:space="preserve">Steering </w:t>
      </w:r>
      <w:r w:rsidRPr="00D9250B">
        <w:rPr>
          <w:rFonts w:cs="Arial"/>
        </w:rPr>
        <w:t>Committee.</w:t>
      </w:r>
    </w:p>
    <w:p w:rsidR="00083B72" w:rsidRPr="00D9250B" w:rsidRDefault="00083B72" w:rsidP="0018224A">
      <w:pPr>
        <w:numPr>
          <w:ilvl w:val="0"/>
          <w:numId w:val="15"/>
        </w:numPr>
        <w:tabs>
          <w:tab w:val="clear" w:pos="1080"/>
          <w:tab w:val="num" w:pos="720"/>
        </w:tabs>
        <w:ind w:left="720"/>
        <w:rPr>
          <w:rFonts w:cs="Arial"/>
        </w:rPr>
      </w:pPr>
      <w:r w:rsidRPr="00D9250B">
        <w:rPr>
          <w:rFonts w:cs="Arial"/>
        </w:rPr>
        <w:t xml:space="preserve">Foster </w:t>
      </w:r>
      <w:r w:rsidR="00FB0852" w:rsidRPr="00D9250B">
        <w:rPr>
          <w:rFonts w:cs="Arial"/>
        </w:rPr>
        <w:t xml:space="preserve">Steering </w:t>
      </w:r>
      <w:r w:rsidRPr="00D9250B">
        <w:rPr>
          <w:rFonts w:cs="Arial"/>
        </w:rPr>
        <w:t>Committee coherence and unity.</w:t>
      </w:r>
    </w:p>
    <w:p w:rsidR="00083B72" w:rsidRPr="00D9250B" w:rsidRDefault="00083B72" w:rsidP="0018224A">
      <w:pPr>
        <w:numPr>
          <w:ilvl w:val="0"/>
          <w:numId w:val="15"/>
        </w:numPr>
        <w:tabs>
          <w:tab w:val="clear" w:pos="1080"/>
          <w:tab w:val="num" w:pos="720"/>
        </w:tabs>
        <w:ind w:left="720"/>
        <w:rPr>
          <w:rFonts w:cs="Arial"/>
        </w:rPr>
      </w:pPr>
      <w:r w:rsidRPr="00D9250B">
        <w:rPr>
          <w:rFonts w:cs="Arial"/>
        </w:rPr>
        <w:t xml:space="preserve">Direct </w:t>
      </w:r>
      <w:r w:rsidR="00FB0852" w:rsidRPr="00D9250B">
        <w:rPr>
          <w:rFonts w:cs="Arial"/>
        </w:rPr>
        <w:t xml:space="preserve">Steering </w:t>
      </w:r>
      <w:r w:rsidRPr="00D9250B">
        <w:rPr>
          <w:rFonts w:cs="Arial"/>
        </w:rPr>
        <w:t xml:space="preserve">Committee discussions to use time effectively to address critical issues related to governance responsibilities for the ABDR. </w:t>
      </w:r>
    </w:p>
    <w:p w:rsidR="00083B72" w:rsidRPr="00D9250B" w:rsidRDefault="00083B72" w:rsidP="00083B72">
      <w:pPr>
        <w:pStyle w:val="Heading2"/>
        <w:keepNext w:val="0"/>
        <w:rPr>
          <w:i w:val="0"/>
          <w:szCs w:val="24"/>
        </w:rPr>
      </w:pPr>
      <w:r w:rsidRPr="00D9250B">
        <w:rPr>
          <w:i w:val="0"/>
          <w:szCs w:val="24"/>
        </w:rPr>
        <w:t>Role of Members</w:t>
      </w:r>
    </w:p>
    <w:p w:rsidR="00083B72" w:rsidRPr="00D9250B" w:rsidRDefault="00083B7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It is the responsibility of each member to contribute to the success of the </w:t>
      </w:r>
      <w:r w:rsidR="00FB0852" w:rsidRPr="00D9250B">
        <w:rPr>
          <w:rFonts w:ascii="Arial" w:hAnsi="Arial" w:cs="Arial"/>
          <w:sz w:val="24"/>
          <w:szCs w:val="24"/>
        </w:rPr>
        <w:t xml:space="preserve">Steering </w:t>
      </w:r>
      <w:r w:rsidRPr="00D9250B">
        <w:rPr>
          <w:rFonts w:ascii="Arial" w:hAnsi="Arial" w:cs="Arial"/>
          <w:sz w:val="24"/>
          <w:szCs w:val="24"/>
        </w:rPr>
        <w:t xml:space="preserve">Committee. Members of the </w:t>
      </w:r>
      <w:r w:rsidR="00FB0852" w:rsidRPr="00D9250B">
        <w:rPr>
          <w:rFonts w:ascii="Arial" w:hAnsi="Arial" w:cs="Arial"/>
          <w:sz w:val="24"/>
          <w:szCs w:val="24"/>
        </w:rPr>
        <w:t xml:space="preserve">Steering </w:t>
      </w:r>
      <w:r w:rsidRPr="00D9250B">
        <w:rPr>
          <w:rFonts w:ascii="Arial" w:hAnsi="Arial" w:cs="Arial"/>
          <w:sz w:val="24"/>
          <w:szCs w:val="24"/>
        </w:rPr>
        <w:t>Committee are appointed to represent their nominating organisation and/or bring individual skills to bear</w:t>
      </w:r>
      <w:r w:rsidR="00FB0852" w:rsidRPr="00D9250B">
        <w:rPr>
          <w:rFonts w:ascii="Arial" w:hAnsi="Arial" w:cs="Arial"/>
          <w:sz w:val="24"/>
          <w:szCs w:val="24"/>
        </w:rPr>
        <w:t>.</w:t>
      </w:r>
      <w:r w:rsidRPr="00D9250B">
        <w:rPr>
          <w:rFonts w:ascii="Arial" w:hAnsi="Arial" w:cs="Arial"/>
          <w:sz w:val="24"/>
          <w:szCs w:val="24"/>
        </w:rPr>
        <w:t xml:space="preserve">  They have a particular responsibility to contribute to the provision of advice on matters pertaining to their areas of representational responsibility, interest or skill. All members, however, should ultimately act together to ensure the effective governance of the ABDR.</w:t>
      </w:r>
    </w:p>
    <w:p w:rsidR="00083B72" w:rsidRPr="00D9250B" w:rsidRDefault="00083B7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In undertaking their responsibilities, </w:t>
      </w:r>
      <w:r w:rsidR="00FB0852" w:rsidRPr="00D9250B">
        <w:rPr>
          <w:rFonts w:ascii="Arial" w:hAnsi="Arial" w:cs="Arial"/>
          <w:sz w:val="24"/>
          <w:szCs w:val="24"/>
        </w:rPr>
        <w:t xml:space="preserve">Steering </w:t>
      </w:r>
      <w:r w:rsidRPr="00D9250B">
        <w:rPr>
          <w:rFonts w:ascii="Arial" w:hAnsi="Arial" w:cs="Arial"/>
          <w:sz w:val="24"/>
          <w:szCs w:val="24"/>
        </w:rPr>
        <w:t>Committee members should:</w:t>
      </w:r>
    </w:p>
    <w:p w:rsidR="00083B72" w:rsidRPr="00D9250B" w:rsidRDefault="00083B72" w:rsidP="0018224A">
      <w:pPr>
        <w:numPr>
          <w:ilvl w:val="0"/>
          <w:numId w:val="16"/>
        </w:numPr>
        <w:tabs>
          <w:tab w:val="clear" w:pos="1080"/>
          <w:tab w:val="num" w:pos="720"/>
        </w:tabs>
        <w:ind w:left="720"/>
        <w:rPr>
          <w:rFonts w:cs="Arial"/>
        </w:rPr>
      </w:pPr>
      <w:r w:rsidRPr="00D9250B">
        <w:rPr>
          <w:rFonts w:cs="Arial"/>
        </w:rPr>
        <w:t>where requested, actively contribute to the setting of the agenda for meetings, and provide input or responses as agreed in meetings;</w:t>
      </w:r>
    </w:p>
    <w:p w:rsidR="00083B72" w:rsidRPr="00D9250B" w:rsidRDefault="00083B72" w:rsidP="0018224A">
      <w:pPr>
        <w:numPr>
          <w:ilvl w:val="0"/>
          <w:numId w:val="16"/>
        </w:numPr>
        <w:tabs>
          <w:tab w:val="clear" w:pos="1080"/>
          <w:tab w:val="num" w:pos="720"/>
        </w:tabs>
        <w:ind w:left="720"/>
        <w:rPr>
          <w:rFonts w:cs="Arial"/>
        </w:rPr>
      </w:pPr>
      <w:r w:rsidRPr="00D9250B">
        <w:rPr>
          <w:rFonts w:cs="Arial"/>
        </w:rPr>
        <w:t>liaise with the Chair and the NBA to ensure they have access to appropriate, timely and accurate information and are well prepared to consider the issues addressed at meetings; and</w:t>
      </w:r>
    </w:p>
    <w:p w:rsidR="00083B72" w:rsidRPr="00D9250B" w:rsidRDefault="00083B72" w:rsidP="0018224A">
      <w:pPr>
        <w:numPr>
          <w:ilvl w:val="0"/>
          <w:numId w:val="16"/>
        </w:numPr>
        <w:tabs>
          <w:tab w:val="clear" w:pos="1080"/>
          <w:tab w:val="num" w:pos="720"/>
        </w:tabs>
        <w:ind w:left="720"/>
        <w:rPr>
          <w:rFonts w:cs="Arial"/>
        </w:rPr>
      </w:pPr>
      <w:proofErr w:type="gramStart"/>
      <w:r w:rsidRPr="00D9250B">
        <w:rPr>
          <w:rFonts w:cs="Arial"/>
        </w:rPr>
        <w:t>represent</w:t>
      </w:r>
      <w:proofErr w:type="gramEnd"/>
      <w:r w:rsidRPr="00D9250B">
        <w:rPr>
          <w:rFonts w:cs="Arial"/>
        </w:rPr>
        <w:t xml:space="preserve"> the interests and views of their nominating organisation.</w:t>
      </w:r>
    </w:p>
    <w:p w:rsidR="00FB0852" w:rsidRPr="00D9250B" w:rsidRDefault="00FB085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Members of the </w:t>
      </w:r>
      <w:r w:rsidR="00B03E2D">
        <w:rPr>
          <w:rFonts w:ascii="Arial" w:hAnsi="Arial" w:cs="Arial"/>
          <w:sz w:val="24"/>
          <w:szCs w:val="24"/>
        </w:rPr>
        <w:t xml:space="preserve">Steering </w:t>
      </w:r>
      <w:r w:rsidRPr="00D9250B">
        <w:rPr>
          <w:rFonts w:ascii="Arial" w:hAnsi="Arial" w:cs="Arial"/>
          <w:sz w:val="24"/>
          <w:szCs w:val="24"/>
        </w:rPr>
        <w:t xml:space="preserve">Committee are responsible for ensuring the efficient and effective operation of the </w:t>
      </w:r>
      <w:r w:rsidR="00B03E2D">
        <w:rPr>
          <w:rFonts w:ascii="Arial" w:hAnsi="Arial" w:cs="Arial"/>
          <w:sz w:val="24"/>
          <w:szCs w:val="24"/>
        </w:rPr>
        <w:t xml:space="preserve">Steering </w:t>
      </w:r>
      <w:r w:rsidRPr="00D9250B">
        <w:rPr>
          <w:rFonts w:ascii="Arial" w:hAnsi="Arial" w:cs="Arial"/>
          <w:sz w:val="24"/>
          <w:szCs w:val="24"/>
        </w:rPr>
        <w:t xml:space="preserve">Committee and for the taking of appropriate steps to ensure they have the requisite knowledge and </w:t>
      </w:r>
      <w:r w:rsidR="00525209">
        <w:rPr>
          <w:rFonts w:ascii="Arial" w:hAnsi="Arial" w:cs="Arial"/>
          <w:sz w:val="24"/>
          <w:szCs w:val="24"/>
        </w:rPr>
        <w:t xml:space="preserve">expertise </w:t>
      </w:r>
      <w:r w:rsidRPr="00D9250B">
        <w:rPr>
          <w:rFonts w:ascii="Arial" w:hAnsi="Arial" w:cs="Arial"/>
          <w:sz w:val="24"/>
          <w:szCs w:val="24"/>
        </w:rPr>
        <w:t xml:space="preserve">to undertake their role. </w:t>
      </w:r>
    </w:p>
    <w:p w:rsidR="00FB0852" w:rsidRPr="00D9250B" w:rsidRDefault="00FB0852" w:rsidP="00FB0852">
      <w:pPr>
        <w:pStyle w:val="PlainText"/>
        <w:spacing w:before="120" w:after="120"/>
        <w:rPr>
          <w:rFonts w:ascii="Arial" w:hAnsi="Arial" w:cs="Arial"/>
          <w:b/>
          <w:sz w:val="24"/>
          <w:szCs w:val="24"/>
        </w:rPr>
      </w:pPr>
      <w:r w:rsidRPr="00D9250B">
        <w:rPr>
          <w:rFonts w:ascii="Arial" w:hAnsi="Arial" w:cs="Arial"/>
          <w:b/>
          <w:sz w:val="24"/>
          <w:szCs w:val="24"/>
        </w:rPr>
        <w:t>Reporting</w:t>
      </w:r>
    </w:p>
    <w:p w:rsidR="00FB0852" w:rsidRPr="00D9250B" w:rsidRDefault="00FB085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The Chair</w:t>
      </w:r>
      <w:r w:rsidR="00FE308D" w:rsidRPr="00D9250B">
        <w:rPr>
          <w:rFonts w:ascii="Arial" w:hAnsi="Arial" w:cs="Arial"/>
          <w:sz w:val="24"/>
          <w:szCs w:val="24"/>
        </w:rPr>
        <w:t xml:space="preserve"> </w:t>
      </w:r>
      <w:r w:rsidRPr="00D9250B">
        <w:rPr>
          <w:rFonts w:ascii="Arial" w:hAnsi="Arial" w:cs="Arial"/>
          <w:sz w:val="24"/>
          <w:szCs w:val="24"/>
        </w:rPr>
        <w:t xml:space="preserve">shall, after each </w:t>
      </w:r>
      <w:r w:rsidR="00FE308D" w:rsidRPr="00D9250B">
        <w:rPr>
          <w:rFonts w:ascii="Arial" w:hAnsi="Arial" w:cs="Arial"/>
          <w:sz w:val="24"/>
          <w:szCs w:val="24"/>
        </w:rPr>
        <w:t xml:space="preserve">Steering </w:t>
      </w:r>
      <w:r w:rsidRPr="00D9250B">
        <w:rPr>
          <w:rFonts w:ascii="Arial" w:hAnsi="Arial" w:cs="Arial"/>
          <w:sz w:val="24"/>
          <w:szCs w:val="24"/>
        </w:rPr>
        <w:t xml:space="preserve">Committee meeting, report to the </w:t>
      </w:r>
      <w:r w:rsidR="00FE308D" w:rsidRPr="00D9250B">
        <w:rPr>
          <w:rFonts w:ascii="Arial" w:hAnsi="Arial" w:cs="Arial"/>
          <w:sz w:val="24"/>
          <w:szCs w:val="24"/>
        </w:rPr>
        <w:t>NBA</w:t>
      </w:r>
      <w:r w:rsidRPr="00D9250B">
        <w:rPr>
          <w:rFonts w:ascii="Arial" w:hAnsi="Arial" w:cs="Arial"/>
          <w:sz w:val="24"/>
          <w:szCs w:val="24"/>
        </w:rPr>
        <w:t xml:space="preserve"> on its operations and activities and when requested provide detailed recommendations to the </w:t>
      </w:r>
      <w:r w:rsidR="00FE308D" w:rsidRPr="00D9250B">
        <w:rPr>
          <w:rFonts w:ascii="Arial" w:hAnsi="Arial" w:cs="Arial"/>
          <w:sz w:val="24"/>
          <w:szCs w:val="24"/>
        </w:rPr>
        <w:t>NBA</w:t>
      </w:r>
      <w:r w:rsidRPr="00D9250B">
        <w:rPr>
          <w:rFonts w:ascii="Arial" w:hAnsi="Arial" w:cs="Arial"/>
          <w:sz w:val="24"/>
          <w:szCs w:val="24"/>
        </w:rPr>
        <w:t xml:space="preserve"> on operational improvements. The </w:t>
      </w:r>
      <w:r w:rsidR="00FE308D" w:rsidRPr="00D9250B">
        <w:rPr>
          <w:rFonts w:ascii="Arial" w:hAnsi="Arial" w:cs="Arial"/>
          <w:sz w:val="24"/>
          <w:szCs w:val="24"/>
        </w:rPr>
        <w:t xml:space="preserve">Steering </w:t>
      </w:r>
      <w:r w:rsidRPr="00D9250B">
        <w:rPr>
          <w:rFonts w:ascii="Arial" w:hAnsi="Arial" w:cs="Arial"/>
          <w:sz w:val="24"/>
          <w:szCs w:val="24"/>
        </w:rPr>
        <w:t xml:space="preserve">Committee shall also report any other matter it considers appropriate </w:t>
      </w:r>
      <w:r w:rsidR="00525209">
        <w:rPr>
          <w:rFonts w:ascii="Arial" w:hAnsi="Arial" w:cs="Arial"/>
          <w:sz w:val="24"/>
          <w:szCs w:val="24"/>
        </w:rPr>
        <w:t xml:space="preserve">on the operations of the ABDR </w:t>
      </w:r>
      <w:r w:rsidRPr="00D9250B">
        <w:rPr>
          <w:rFonts w:ascii="Arial" w:hAnsi="Arial" w:cs="Arial"/>
          <w:sz w:val="24"/>
          <w:szCs w:val="24"/>
        </w:rPr>
        <w:t xml:space="preserve">to the </w:t>
      </w:r>
      <w:r w:rsidR="00FE308D" w:rsidRPr="00D9250B">
        <w:rPr>
          <w:rFonts w:ascii="Arial" w:hAnsi="Arial" w:cs="Arial"/>
          <w:sz w:val="24"/>
          <w:szCs w:val="24"/>
        </w:rPr>
        <w:t>NBA</w:t>
      </w:r>
      <w:r w:rsidRPr="00D9250B">
        <w:rPr>
          <w:rFonts w:ascii="Arial" w:hAnsi="Arial" w:cs="Arial"/>
          <w:sz w:val="24"/>
          <w:szCs w:val="24"/>
        </w:rPr>
        <w:t>.</w:t>
      </w:r>
    </w:p>
    <w:p w:rsidR="00FB0852" w:rsidRPr="00D9250B" w:rsidRDefault="00FB0852"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The </w:t>
      </w:r>
      <w:r w:rsidR="00525209">
        <w:rPr>
          <w:rFonts w:ascii="Arial" w:hAnsi="Arial" w:cs="Arial"/>
          <w:sz w:val="24"/>
          <w:szCs w:val="24"/>
        </w:rPr>
        <w:t xml:space="preserve">Steering </w:t>
      </w:r>
      <w:r w:rsidRPr="00D9250B">
        <w:rPr>
          <w:rFonts w:ascii="Arial" w:hAnsi="Arial" w:cs="Arial"/>
          <w:sz w:val="24"/>
          <w:szCs w:val="24"/>
        </w:rPr>
        <w:t>Committee shall provide a written annual report to the NBA General Manager and all stakeholders summarising its activities for the year. The report should include:</w:t>
      </w:r>
    </w:p>
    <w:p w:rsidR="00FB0852" w:rsidRPr="00D9250B" w:rsidRDefault="00FB0852" w:rsidP="0018224A">
      <w:pPr>
        <w:pStyle w:val="PlainText"/>
        <w:numPr>
          <w:ilvl w:val="0"/>
          <w:numId w:val="17"/>
        </w:numPr>
        <w:tabs>
          <w:tab w:val="clear" w:pos="1080"/>
          <w:tab w:val="num" w:pos="720"/>
        </w:tabs>
        <w:spacing w:before="120" w:after="120"/>
        <w:ind w:left="720"/>
        <w:rPr>
          <w:rFonts w:ascii="Arial" w:hAnsi="Arial" w:cs="Arial"/>
          <w:sz w:val="24"/>
          <w:szCs w:val="24"/>
        </w:rPr>
      </w:pPr>
      <w:r w:rsidRPr="00D9250B">
        <w:rPr>
          <w:rFonts w:ascii="Arial" w:hAnsi="Arial" w:cs="Arial"/>
          <w:sz w:val="24"/>
          <w:szCs w:val="24"/>
        </w:rPr>
        <w:t xml:space="preserve">a summary of the work the </w:t>
      </w:r>
      <w:r w:rsidR="00B03E2D">
        <w:rPr>
          <w:rFonts w:ascii="Arial" w:hAnsi="Arial" w:cs="Arial"/>
          <w:sz w:val="24"/>
          <w:szCs w:val="24"/>
        </w:rPr>
        <w:t>Steering C</w:t>
      </w:r>
      <w:r w:rsidRPr="00D9250B">
        <w:rPr>
          <w:rFonts w:ascii="Arial" w:hAnsi="Arial" w:cs="Arial"/>
          <w:sz w:val="24"/>
          <w:szCs w:val="24"/>
        </w:rPr>
        <w:t>ommittee performed to fully discharge its responsibilities during the preceding year;</w:t>
      </w:r>
    </w:p>
    <w:p w:rsidR="00FB0852" w:rsidRPr="00D9250B" w:rsidRDefault="00FB0852" w:rsidP="0018224A">
      <w:pPr>
        <w:pStyle w:val="PlainText"/>
        <w:numPr>
          <w:ilvl w:val="0"/>
          <w:numId w:val="17"/>
        </w:numPr>
        <w:tabs>
          <w:tab w:val="clear" w:pos="1080"/>
          <w:tab w:val="num" w:pos="720"/>
        </w:tabs>
        <w:spacing w:before="120" w:after="120"/>
        <w:ind w:left="720"/>
        <w:rPr>
          <w:rFonts w:ascii="Arial" w:hAnsi="Arial" w:cs="Arial"/>
          <w:sz w:val="24"/>
          <w:szCs w:val="24"/>
        </w:rPr>
      </w:pPr>
      <w:r w:rsidRPr="00D9250B">
        <w:rPr>
          <w:rFonts w:ascii="Arial" w:hAnsi="Arial" w:cs="Arial"/>
          <w:sz w:val="24"/>
          <w:szCs w:val="24"/>
        </w:rPr>
        <w:lastRenderedPageBreak/>
        <w:t xml:space="preserve">an overall assessment of the ABDR risk, performance, control and compliance framework, including details of any significant emerging risks or legislative changes impacting the ABDR; </w:t>
      </w:r>
    </w:p>
    <w:p w:rsidR="00FB0852" w:rsidRPr="00D9250B" w:rsidRDefault="00FB0852" w:rsidP="0018224A">
      <w:pPr>
        <w:pStyle w:val="PlainText"/>
        <w:numPr>
          <w:ilvl w:val="0"/>
          <w:numId w:val="17"/>
        </w:numPr>
        <w:tabs>
          <w:tab w:val="clear" w:pos="1080"/>
          <w:tab w:val="num" w:pos="720"/>
        </w:tabs>
        <w:spacing w:before="120" w:after="120"/>
        <w:ind w:left="720"/>
        <w:rPr>
          <w:rFonts w:ascii="Arial" w:hAnsi="Arial" w:cs="Arial"/>
          <w:sz w:val="24"/>
          <w:szCs w:val="24"/>
        </w:rPr>
      </w:pPr>
      <w:r w:rsidRPr="00D9250B">
        <w:rPr>
          <w:rFonts w:ascii="Arial" w:hAnsi="Arial" w:cs="Arial"/>
          <w:sz w:val="24"/>
          <w:szCs w:val="24"/>
        </w:rPr>
        <w:t xml:space="preserve">an overall assessment of the adequacy of data privacy and security arrangements, and any variation to these arrangements during the year; and </w:t>
      </w:r>
    </w:p>
    <w:p w:rsidR="00FB0852" w:rsidRPr="00D9250B" w:rsidRDefault="00FB0852" w:rsidP="0018224A">
      <w:pPr>
        <w:pStyle w:val="PlainText"/>
        <w:numPr>
          <w:ilvl w:val="0"/>
          <w:numId w:val="17"/>
        </w:numPr>
        <w:tabs>
          <w:tab w:val="clear" w:pos="1080"/>
          <w:tab w:val="num" w:pos="720"/>
        </w:tabs>
        <w:spacing w:before="120" w:after="120"/>
        <w:ind w:left="720"/>
        <w:rPr>
          <w:rFonts w:ascii="Arial" w:hAnsi="Arial" w:cs="Arial"/>
          <w:sz w:val="24"/>
          <w:szCs w:val="24"/>
        </w:rPr>
      </w:pPr>
      <w:proofErr w:type="gramStart"/>
      <w:r w:rsidRPr="00D9250B">
        <w:rPr>
          <w:rFonts w:ascii="Arial" w:hAnsi="Arial" w:cs="Arial"/>
          <w:sz w:val="24"/>
          <w:szCs w:val="24"/>
        </w:rPr>
        <w:t>details</w:t>
      </w:r>
      <w:proofErr w:type="gramEnd"/>
      <w:r w:rsidRPr="00D9250B">
        <w:rPr>
          <w:rFonts w:ascii="Arial" w:hAnsi="Arial" w:cs="Arial"/>
          <w:sz w:val="24"/>
          <w:szCs w:val="24"/>
        </w:rPr>
        <w:t xml:space="preserve"> of meetings, including the number of meetings held during the relevant period, and the number of meetings each member attended.</w:t>
      </w:r>
    </w:p>
    <w:p w:rsidR="00E6360B" w:rsidRPr="00D9250B" w:rsidRDefault="00E6360B" w:rsidP="00E6360B">
      <w:pPr>
        <w:pStyle w:val="PlainText"/>
        <w:spacing w:before="120" w:after="120"/>
        <w:rPr>
          <w:rFonts w:ascii="Arial" w:hAnsi="Arial" w:cs="Arial"/>
          <w:b/>
          <w:sz w:val="28"/>
          <w:szCs w:val="28"/>
        </w:rPr>
      </w:pPr>
      <w:r w:rsidRPr="00D9250B">
        <w:rPr>
          <w:rFonts w:ascii="Arial" w:hAnsi="Arial" w:cs="Arial"/>
          <w:b/>
          <w:sz w:val="28"/>
          <w:szCs w:val="28"/>
        </w:rPr>
        <w:t>Administrative Arrangements</w:t>
      </w:r>
    </w:p>
    <w:p w:rsidR="00E6360B" w:rsidRPr="00D9250B" w:rsidRDefault="00E6360B" w:rsidP="00E6360B">
      <w:pPr>
        <w:pStyle w:val="PlainText"/>
        <w:spacing w:before="120" w:after="120"/>
        <w:rPr>
          <w:rFonts w:ascii="Arial" w:hAnsi="Arial" w:cs="Arial"/>
          <w:b/>
          <w:sz w:val="24"/>
          <w:szCs w:val="24"/>
        </w:rPr>
      </w:pPr>
      <w:r w:rsidRPr="00D9250B">
        <w:rPr>
          <w:rFonts w:ascii="Arial" w:hAnsi="Arial" w:cs="Arial"/>
          <w:b/>
          <w:sz w:val="24"/>
          <w:szCs w:val="24"/>
        </w:rPr>
        <w:t>Membership</w:t>
      </w:r>
    </w:p>
    <w:p w:rsidR="00E6360B" w:rsidRPr="00D9250B" w:rsidRDefault="00E6360B"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The Steering Committee will comprise the following:</w:t>
      </w:r>
    </w:p>
    <w:tbl>
      <w:tblPr>
        <w:tblW w:w="0" w:type="auto"/>
        <w:tblLook w:val="01E0" w:firstRow="1" w:lastRow="1" w:firstColumn="1" w:lastColumn="1" w:noHBand="0" w:noVBand="0"/>
      </w:tblPr>
      <w:tblGrid>
        <w:gridCol w:w="4621"/>
        <w:gridCol w:w="4621"/>
      </w:tblGrid>
      <w:tr w:rsidR="00E6360B" w:rsidRPr="00D56A6A" w:rsidTr="00D56A6A">
        <w:tc>
          <w:tcPr>
            <w:tcW w:w="4621" w:type="dxa"/>
            <w:shd w:val="clear" w:color="auto" w:fill="auto"/>
          </w:tcPr>
          <w:p w:rsidR="00E6360B" w:rsidRPr="00D56A6A" w:rsidRDefault="00E6360B" w:rsidP="00D56A6A">
            <w:pPr>
              <w:spacing w:before="60" w:after="60"/>
              <w:rPr>
                <w:rFonts w:cs="Arial"/>
                <w:b/>
              </w:rPr>
            </w:pPr>
            <w:r w:rsidRPr="00D56A6A">
              <w:rPr>
                <w:rFonts w:cs="Arial"/>
                <w:b/>
              </w:rPr>
              <w:t>Member</w:t>
            </w:r>
          </w:p>
          <w:p w:rsidR="00E6360B" w:rsidRPr="00D56A6A" w:rsidRDefault="00E6360B" w:rsidP="00D56A6A">
            <w:pPr>
              <w:numPr>
                <w:ilvl w:val="0"/>
                <w:numId w:val="1"/>
              </w:numPr>
              <w:tabs>
                <w:tab w:val="clear" w:pos="720"/>
              </w:tabs>
              <w:spacing w:before="60" w:after="60"/>
              <w:ind w:left="284" w:hanging="284"/>
              <w:rPr>
                <w:rFonts w:cs="Arial"/>
              </w:rPr>
            </w:pPr>
            <w:r w:rsidRPr="00D56A6A">
              <w:rPr>
                <w:rFonts w:cs="Arial"/>
              </w:rPr>
              <w:t>Chair</w:t>
            </w:r>
          </w:p>
          <w:p w:rsidR="00E6360B" w:rsidRPr="00D56A6A" w:rsidRDefault="00E6360B" w:rsidP="00D56A6A">
            <w:pPr>
              <w:numPr>
                <w:ilvl w:val="0"/>
                <w:numId w:val="1"/>
              </w:numPr>
              <w:tabs>
                <w:tab w:val="clear" w:pos="720"/>
              </w:tabs>
              <w:spacing w:before="60" w:after="60"/>
              <w:ind w:left="284" w:hanging="284"/>
              <w:rPr>
                <w:rFonts w:cs="Arial"/>
              </w:rPr>
            </w:pPr>
            <w:r w:rsidRPr="00D56A6A">
              <w:rPr>
                <w:rFonts w:cs="Arial"/>
              </w:rPr>
              <w:t>Executive Director, HFA</w:t>
            </w:r>
          </w:p>
          <w:p w:rsidR="00E6360B" w:rsidRPr="00D56A6A" w:rsidRDefault="00E6360B" w:rsidP="00D56A6A">
            <w:pPr>
              <w:numPr>
                <w:ilvl w:val="0"/>
                <w:numId w:val="1"/>
              </w:numPr>
              <w:tabs>
                <w:tab w:val="clear" w:pos="720"/>
              </w:tabs>
              <w:spacing w:before="60" w:after="60"/>
              <w:ind w:left="284" w:hanging="284"/>
              <w:rPr>
                <w:rFonts w:cs="Arial"/>
              </w:rPr>
            </w:pPr>
            <w:r w:rsidRPr="00D56A6A">
              <w:rPr>
                <w:rFonts w:cs="Arial"/>
              </w:rPr>
              <w:t>AHCDO representative</w:t>
            </w:r>
          </w:p>
          <w:p w:rsidR="00E6360B" w:rsidRPr="00D56A6A" w:rsidRDefault="00E6360B" w:rsidP="00D56A6A">
            <w:pPr>
              <w:numPr>
                <w:ilvl w:val="0"/>
                <w:numId w:val="1"/>
              </w:numPr>
              <w:tabs>
                <w:tab w:val="clear" w:pos="720"/>
              </w:tabs>
              <w:spacing w:before="60" w:after="60"/>
              <w:ind w:left="284" w:hanging="284"/>
              <w:rPr>
                <w:rFonts w:cs="Arial"/>
              </w:rPr>
            </w:pPr>
            <w:r w:rsidRPr="00D56A6A">
              <w:rPr>
                <w:rFonts w:cs="Arial"/>
              </w:rPr>
              <w:t>Jurisdictional representative</w:t>
            </w:r>
            <w:r w:rsidR="0070126B" w:rsidRPr="00D56A6A">
              <w:rPr>
                <w:rFonts w:cs="Arial"/>
              </w:rPr>
              <w:t>s</w:t>
            </w:r>
          </w:p>
          <w:p w:rsidR="00E6360B" w:rsidRPr="00D56A6A" w:rsidRDefault="004F0E87" w:rsidP="00D56A6A">
            <w:pPr>
              <w:numPr>
                <w:ilvl w:val="0"/>
                <w:numId w:val="1"/>
              </w:numPr>
              <w:tabs>
                <w:tab w:val="clear" w:pos="720"/>
              </w:tabs>
              <w:spacing w:before="60" w:after="60"/>
              <w:ind w:left="284" w:hanging="284"/>
              <w:rPr>
                <w:rFonts w:cs="Arial"/>
              </w:rPr>
            </w:pPr>
            <w:r w:rsidRPr="00D56A6A">
              <w:rPr>
                <w:rFonts w:cs="Arial"/>
              </w:rPr>
              <w:t xml:space="preserve">NBA representative (relevant </w:t>
            </w:r>
            <w:r w:rsidR="00E6360B" w:rsidRPr="00D56A6A">
              <w:rPr>
                <w:rFonts w:cs="Arial"/>
              </w:rPr>
              <w:t>Deputy General Manager</w:t>
            </w:r>
            <w:r w:rsidRPr="00D56A6A">
              <w:rPr>
                <w:rFonts w:cs="Arial"/>
              </w:rPr>
              <w:t>)</w:t>
            </w:r>
          </w:p>
        </w:tc>
        <w:tc>
          <w:tcPr>
            <w:tcW w:w="4621" w:type="dxa"/>
            <w:shd w:val="clear" w:color="auto" w:fill="auto"/>
          </w:tcPr>
          <w:p w:rsidR="00E6360B" w:rsidRPr="00D56A6A" w:rsidRDefault="00E6360B" w:rsidP="00D56A6A">
            <w:pPr>
              <w:spacing w:before="60" w:after="60"/>
              <w:rPr>
                <w:rFonts w:cs="Arial"/>
                <w:b/>
              </w:rPr>
            </w:pPr>
            <w:r w:rsidRPr="00D56A6A">
              <w:rPr>
                <w:rFonts w:cs="Arial"/>
                <w:b/>
              </w:rPr>
              <w:t>Nominating Organisation</w:t>
            </w:r>
          </w:p>
          <w:p w:rsidR="00E6360B" w:rsidRPr="00D56A6A" w:rsidRDefault="00E6360B" w:rsidP="00D56A6A">
            <w:pPr>
              <w:numPr>
                <w:ilvl w:val="0"/>
                <w:numId w:val="1"/>
              </w:numPr>
              <w:tabs>
                <w:tab w:val="clear" w:pos="720"/>
              </w:tabs>
              <w:spacing w:before="60" w:after="60"/>
              <w:ind w:left="284" w:hanging="284"/>
              <w:rPr>
                <w:rFonts w:cs="Arial"/>
              </w:rPr>
            </w:pPr>
            <w:r w:rsidRPr="00D56A6A">
              <w:rPr>
                <w:rFonts w:cs="Arial"/>
              </w:rPr>
              <w:t xml:space="preserve">AHCDO </w:t>
            </w:r>
            <w:r w:rsidR="0070126B" w:rsidRPr="00D56A6A">
              <w:rPr>
                <w:rFonts w:cs="Arial"/>
              </w:rPr>
              <w:t>Executive</w:t>
            </w:r>
          </w:p>
          <w:p w:rsidR="00E6360B" w:rsidRPr="00D56A6A" w:rsidRDefault="00E6360B" w:rsidP="00D56A6A">
            <w:pPr>
              <w:numPr>
                <w:ilvl w:val="0"/>
                <w:numId w:val="1"/>
              </w:numPr>
              <w:tabs>
                <w:tab w:val="clear" w:pos="720"/>
              </w:tabs>
              <w:spacing w:before="60" w:after="60"/>
              <w:ind w:left="284" w:hanging="284"/>
              <w:rPr>
                <w:rFonts w:cs="Arial"/>
              </w:rPr>
            </w:pPr>
            <w:r w:rsidRPr="00D56A6A">
              <w:rPr>
                <w:rFonts w:cs="Arial"/>
              </w:rPr>
              <w:t>HFA</w:t>
            </w:r>
          </w:p>
          <w:p w:rsidR="0070126B" w:rsidRPr="00D56A6A" w:rsidRDefault="00E6360B" w:rsidP="00D56A6A">
            <w:pPr>
              <w:numPr>
                <w:ilvl w:val="0"/>
                <w:numId w:val="1"/>
              </w:numPr>
              <w:tabs>
                <w:tab w:val="clear" w:pos="720"/>
              </w:tabs>
              <w:spacing w:before="60" w:after="60"/>
              <w:ind w:left="284" w:hanging="284"/>
              <w:rPr>
                <w:rFonts w:cs="Arial"/>
              </w:rPr>
            </w:pPr>
            <w:r w:rsidRPr="00D56A6A">
              <w:rPr>
                <w:rFonts w:cs="Arial"/>
              </w:rPr>
              <w:t>AHCDO Executive</w:t>
            </w:r>
          </w:p>
          <w:p w:rsidR="00E6360B" w:rsidRPr="00D56A6A" w:rsidRDefault="00E6360B" w:rsidP="00D56A6A">
            <w:pPr>
              <w:numPr>
                <w:ilvl w:val="0"/>
                <w:numId w:val="1"/>
              </w:numPr>
              <w:tabs>
                <w:tab w:val="clear" w:pos="720"/>
              </w:tabs>
              <w:spacing w:before="60" w:after="60"/>
              <w:ind w:left="284" w:hanging="284"/>
              <w:rPr>
                <w:rFonts w:cs="Arial"/>
              </w:rPr>
            </w:pPr>
            <w:r w:rsidRPr="00D56A6A">
              <w:rPr>
                <w:rFonts w:cs="Arial"/>
              </w:rPr>
              <w:t>JBC</w:t>
            </w:r>
          </w:p>
          <w:p w:rsidR="00E6360B" w:rsidRPr="00D56A6A" w:rsidRDefault="00E6360B" w:rsidP="00D56A6A">
            <w:pPr>
              <w:numPr>
                <w:ilvl w:val="0"/>
                <w:numId w:val="1"/>
              </w:numPr>
              <w:tabs>
                <w:tab w:val="clear" w:pos="720"/>
              </w:tabs>
              <w:spacing w:before="60" w:after="60"/>
              <w:ind w:left="284" w:hanging="284"/>
              <w:rPr>
                <w:rFonts w:cs="Arial"/>
              </w:rPr>
            </w:pPr>
            <w:r w:rsidRPr="00D56A6A">
              <w:rPr>
                <w:rFonts w:cs="Arial"/>
              </w:rPr>
              <w:t>NBA</w:t>
            </w:r>
          </w:p>
        </w:tc>
      </w:tr>
    </w:tbl>
    <w:p w:rsidR="00E6360B" w:rsidRPr="00D9250B" w:rsidRDefault="00E6360B"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Members will be engaged to participate on nomination by their parent organisation in a manner which is appropriate for their circumstances.  A member is responsible for obtaining all necessary external approvals (whether prior to or in the course of their membership) to accept and undertake membership of the</w:t>
      </w:r>
      <w:r w:rsidR="00FF6BAC">
        <w:rPr>
          <w:rFonts w:ascii="Arial" w:hAnsi="Arial" w:cs="Arial"/>
          <w:sz w:val="24"/>
          <w:szCs w:val="24"/>
        </w:rPr>
        <w:t xml:space="preserve"> Steering</w:t>
      </w:r>
      <w:r w:rsidRPr="00D9250B">
        <w:rPr>
          <w:rFonts w:ascii="Arial" w:hAnsi="Arial" w:cs="Arial"/>
          <w:sz w:val="24"/>
          <w:szCs w:val="24"/>
        </w:rPr>
        <w:t xml:space="preserve"> Committee.  For example, a member may require approval from an employer before accepting an invitation to participate.</w:t>
      </w:r>
    </w:p>
    <w:p w:rsidR="00E6360B" w:rsidRPr="00D9250B" w:rsidRDefault="00E6360B"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Members shall be appointed to the </w:t>
      </w:r>
      <w:r w:rsidR="00FF6BAC">
        <w:rPr>
          <w:rFonts w:ascii="Arial" w:hAnsi="Arial" w:cs="Arial"/>
          <w:sz w:val="24"/>
          <w:szCs w:val="24"/>
        </w:rPr>
        <w:t xml:space="preserve">Steering </w:t>
      </w:r>
      <w:r w:rsidRPr="00D9250B">
        <w:rPr>
          <w:rFonts w:ascii="Arial" w:hAnsi="Arial" w:cs="Arial"/>
          <w:sz w:val="24"/>
          <w:szCs w:val="24"/>
        </w:rPr>
        <w:t xml:space="preserve">Committee </w:t>
      </w:r>
      <w:r w:rsidR="00B74EC3" w:rsidRPr="00D9250B">
        <w:rPr>
          <w:rFonts w:ascii="Arial" w:hAnsi="Arial" w:cs="Arial"/>
          <w:sz w:val="24"/>
          <w:szCs w:val="24"/>
        </w:rPr>
        <w:t>by the NBA General Manager</w:t>
      </w:r>
      <w:r w:rsidR="00F12832">
        <w:rPr>
          <w:rFonts w:ascii="Arial" w:hAnsi="Arial" w:cs="Arial"/>
          <w:sz w:val="24"/>
          <w:szCs w:val="24"/>
        </w:rPr>
        <w:t xml:space="preserve">, </w:t>
      </w:r>
      <w:r w:rsidR="00B74EC3" w:rsidRPr="00D9250B">
        <w:rPr>
          <w:rFonts w:ascii="Arial" w:hAnsi="Arial" w:cs="Arial"/>
          <w:sz w:val="24"/>
          <w:szCs w:val="24"/>
        </w:rPr>
        <w:t xml:space="preserve">for an </w:t>
      </w:r>
      <w:r w:rsidRPr="00D9250B">
        <w:rPr>
          <w:rFonts w:ascii="Arial" w:hAnsi="Arial" w:cs="Arial"/>
          <w:sz w:val="24"/>
          <w:szCs w:val="24"/>
        </w:rPr>
        <w:t xml:space="preserve">initial period not exceeding three years after which they will be eligible for re-appointment. </w:t>
      </w:r>
    </w:p>
    <w:p w:rsidR="004F0E87" w:rsidRPr="00D9250B" w:rsidRDefault="004F0E87"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The Steering Committee may be discontinued by a further administrative decision of the NBA General Manager</w:t>
      </w:r>
      <w:r w:rsidR="004A5D83" w:rsidRPr="00D9250B">
        <w:rPr>
          <w:rFonts w:ascii="Arial" w:hAnsi="Arial" w:cs="Arial"/>
          <w:sz w:val="24"/>
          <w:szCs w:val="24"/>
        </w:rPr>
        <w:t xml:space="preserve"> under S</w:t>
      </w:r>
      <w:r w:rsidR="00B74EC3" w:rsidRPr="00D9250B">
        <w:rPr>
          <w:rFonts w:ascii="Arial" w:hAnsi="Arial" w:cs="Arial"/>
          <w:sz w:val="24"/>
          <w:szCs w:val="24"/>
        </w:rPr>
        <w:t>ection 38 of the NBA Act.</w:t>
      </w:r>
    </w:p>
    <w:p w:rsidR="004F0E87" w:rsidRPr="00D9250B" w:rsidRDefault="004F0E87" w:rsidP="004F0E87">
      <w:pPr>
        <w:pStyle w:val="PlainText"/>
        <w:tabs>
          <w:tab w:val="left" w:pos="6120"/>
        </w:tabs>
        <w:spacing w:before="120" w:after="120"/>
        <w:rPr>
          <w:rFonts w:ascii="Arial" w:hAnsi="Arial" w:cs="Arial"/>
          <w:b/>
          <w:sz w:val="24"/>
          <w:szCs w:val="24"/>
        </w:rPr>
      </w:pPr>
      <w:r w:rsidRPr="00D9250B">
        <w:rPr>
          <w:rFonts w:ascii="Arial" w:hAnsi="Arial" w:cs="Arial"/>
          <w:b/>
          <w:sz w:val="24"/>
          <w:szCs w:val="24"/>
        </w:rPr>
        <w:t>Induction</w:t>
      </w:r>
    </w:p>
    <w:p w:rsidR="004F0E87" w:rsidRPr="00D9250B" w:rsidRDefault="004F0E87"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New members will receive relevant information and briefings on their appointment by the NBA to assist them to meet their </w:t>
      </w:r>
      <w:r w:rsidR="00B03E2D">
        <w:rPr>
          <w:rFonts w:ascii="Arial" w:hAnsi="Arial" w:cs="Arial"/>
          <w:sz w:val="24"/>
          <w:szCs w:val="24"/>
        </w:rPr>
        <w:t>Steering C</w:t>
      </w:r>
      <w:r w:rsidRPr="00D9250B">
        <w:rPr>
          <w:rFonts w:ascii="Arial" w:hAnsi="Arial" w:cs="Arial"/>
          <w:sz w:val="24"/>
          <w:szCs w:val="24"/>
        </w:rPr>
        <w:t>ommittee responsibilities.</w:t>
      </w:r>
    </w:p>
    <w:p w:rsidR="00E6360B" w:rsidRPr="00D9250B" w:rsidRDefault="00E6360B" w:rsidP="00E6360B">
      <w:pPr>
        <w:pStyle w:val="PlainText"/>
        <w:spacing w:before="120" w:after="120"/>
        <w:rPr>
          <w:rFonts w:ascii="Arial" w:hAnsi="Arial" w:cs="Arial"/>
          <w:b/>
          <w:sz w:val="24"/>
          <w:szCs w:val="24"/>
        </w:rPr>
      </w:pPr>
      <w:r w:rsidRPr="00D9250B">
        <w:rPr>
          <w:rFonts w:ascii="Arial" w:hAnsi="Arial" w:cs="Arial"/>
          <w:b/>
          <w:sz w:val="24"/>
          <w:szCs w:val="24"/>
        </w:rPr>
        <w:t>Meetings and Secretariat</w:t>
      </w:r>
    </w:p>
    <w:p w:rsidR="00E6360B" w:rsidRPr="00D9250B" w:rsidRDefault="00E6360B"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Meetings shall be held not less than three (3) times a year and may be held more frequently as required. The Chair shall call a meeting if requested to do so by another </w:t>
      </w:r>
      <w:r w:rsidR="004F0E87" w:rsidRPr="00D9250B">
        <w:rPr>
          <w:rFonts w:ascii="Arial" w:hAnsi="Arial" w:cs="Arial"/>
          <w:sz w:val="24"/>
          <w:szCs w:val="24"/>
        </w:rPr>
        <w:t xml:space="preserve">Steering </w:t>
      </w:r>
      <w:r w:rsidRPr="00D9250B">
        <w:rPr>
          <w:rFonts w:ascii="Arial" w:hAnsi="Arial" w:cs="Arial"/>
          <w:sz w:val="24"/>
          <w:szCs w:val="24"/>
        </w:rPr>
        <w:t xml:space="preserve">Committee member or the </w:t>
      </w:r>
      <w:r w:rsidR="00930F63">
        <w:rPr>
          <w:rFonts w:ascii="Arial" w:hAnsi="Arial" w:cs="Arial"/>
          <w:sz w:val="24"/>
          <w:szCs w:val="24"/>
        </w:rPr>
        <w:t xml:space="preserve">NBA </w:t>
      </w:r>
      <w:r w:rsidRPr="00D9250B">
        <w:rPr>
          <w:rFonts w:ascii="Arial" w:hAnsi="Arial" w:cs="Arial"/>
          <w:sz w:val="24"/>
          <w:szCs w:val="24"/>
        </w:rPr>
        <w:t xml:space="preserve">General Manager. </w:t>
      </w:r>
    </w:p>
    <w:p w:rsidR="00D44274" w:rsidRPr="00D9250B" w:rsidRDefault="00E6360B"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A quorum shall consist of </w:t>
      </w:r>
      <w:r w:rsidR="00D44274" w:rsidRPr="00D9250B">
        <w:rPr>
          <w:rFonts w:ascii="Arial" w:hAnsi="Arial" w:cs="Arial"/>
          <w:sz w:val="24"/>
          <w:szCs w:val="24"/>
        </w:rPr>
        <w:t>at least t</w:t>
      </w:r>
      <w:r w:rsidR="00930F63">
        <w:rPr>
          <w:rFonts w:ascii="Arial" w:hAnsi="Arial" w:cs="Arial"/>
          <w:sz w:val="24"/>
          <w:szCs w:val="24"/>
        </w:rPr>
        <w:t xml:space="preserve">hree members, with one being a representative of AHCDO and one a </w:t>
      </w:r>
      <w:r w:rsidR="00D44274" w:rsidRPr="00D9250B">
        <w:rPr>
          <w:rFonts w:ascii="Arial" w:hAnsi="Arial" w:cs="Arial"/>
          <w:sz w:val="24"/>
          <w:szCs w:val="24"/>
        </w:rPr>
        <w:t>representative from the NBA.</w:t>
      </w:r>
    </w:p>
    <w:p w:rsidR="00E6360B" w:rsidRPr="00D9250B" w:rsidRDefault="00D44274"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Steering Committee members can nominate proxies and must advise the </w:t>
      </w:r>
      <w:r w:rsidR="00930F63">
        <w:rPr>
          <w:rFonts w:ascii="Arial" w:hAnsi="Arial" w:cs="Arial"/>
          <w:sz w:val="24"/>
          <w:szCs w:val="24"/>
        </w:rPr>
        <w:t>ABDR Secretariat</w:t>
      </w:r>
      <w:r w:rsidRPr="00D9250B">
        <w:rPr>
          <w:rFonts w:ascii="Arial" w:hAnsi="Arial" w:cs="Arial"/>
          <w:sz w:val="24"/>
          <w:szCs w:val="24"/>
        </w:rPr>
        <w:t xml:space="preserve"> </w:t>
      </w:r>
      <w:r w:rsidR="00442497" w:rsidRPr="00D9250B">
        <w:rPr>
          <w:rFonts w:ascii="Arial" w:hAnsi="Arial" w:cs="Arial"/>
          <w:sz w:val="24"/>
          <w:szCs w:val="24"/>
        </w:rPr>
        <w:t xml:space="preserve">of </w:t>
      </w:r>
      <w:r w:rsidRPr="00D9250B">
        <w:rPr>
          <w:rFonts w:ascii="Arial" w:hAnsi="Arial" w:cs="Arial"/>
          <w:sz w:val="24"/>
          <w:szCs w:val="24"/>
        </w:rPr>
        <w:t>the relevant details.  If Steering Committee members are unable to attend three consecutive meetings</w:t>
      </w:r>
      <w:r w:rsidR="004B167D" w:rsidRPr="00D9250B">
        <w:rPr>
          <w:rFonts w:ascii="Arial" w:hAnsi="Arial" w:cs="Arial"/>
          <w:sz w:val="24"/>
          <w:szCs w:val="24"/>
        </w:rPr>
        <w:t>,</w:t>
      </w:r>
      <w:r w:rsidRPr="00D9250B">
        <w:rPr>
          <w:rFonts w:ascii="Arial" w:hAnsi="Arial" w:cs="Arial"/>
          <w:sz w:val="24"/>
          <w:szCs w:val="24"/>
        </w:rPr>
        <w:t xml:space="preserve"> they will be asked to resign unless there are extenuating circumstances.</w:t>
      </w:r>
    </w:p>
    <w:p w:rsidR="00D44274" w:rsidRPr="00D9250B" w:rsidRDefault="00D44274"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lastRenderedPageBreak/>
        <w:t xml:space="preserve">If the Chair of the Steering Committee is unable to attend a meeting then </w:t>
      </w:r>
      <w:r w:rsidR="00930F63">
        <w:rPr>
          <w:rFonts w:ascii="Arial" w:hAnsi="Arial" w:cs="Arial"/>
          <w:sz w:val="24"/>
          <w:szCs w:val="24"/>
        </w:rPr>
        <w:t xml:space="preserve">the proxy from AHCDO </w:t>
      </w:r>
      <w:r w:rsidRPr="00D9250B">
        <w:rPr>
          <w:rFonts w:ascii="Arial" w:hAnsi="Arial" w:cs="Arial"/>
          <w:sz w:val="24"/>
          <w:szCs w:val="24"/>
        </w:rPr>
        <w:t xml:space="preserve">will chair </w:t>
      </w:r>
      <w:r w:rsidR="00442497" w:rsidRPr="00D9250B">
        <w:rPr>
          <w:rFonts w:ascii="Arial" w:hAnsi="Arial" w:cs="Arial"/>
          <w:sz w:val="24"/>
          <w:szCs w:val="24"/>
        </w:rPr>
        <w:t xml:space="preserve">the </w:t>
      </w:r>
      <w:r w:rsidRPr="00D9250B">
        <w:rPr>
          <w:rFonts w:ascii="Arial" w:hAnsi="Arial" w:cs="Arial"/>
          <w:sz w:val="24"/>
          <w:szCs w:val="24"/>
        </w:rPr>
        <w:t>meeting in the</w:t>
      </w:r>
      <w:r w:rsidR="004B167D" w:rsidRPr="00D9250B">
        <w:rPr>
          <w:rFonts w:ascii="Arial" w:hAnsi="Arial" w:cs="Arial"/>
          <w:sz w:val="24"/>
          <w:szCs w:val="24"/>
        </w:rPr>
        <w:t>i</w:t>
      </w:r>
      <w:r w:rsidRPr="00D9250B">
        <w:rPr>
          <w:rFonts w:ascii="Arial" w:hAnsi="Arial" w:cs="Arial"/>
          <w:sz w:val="24"/>
          <w:szCs w:val="24"/>
        </w:rPr>
        <w:t>r absence.</w:t>
      </w:r>
    </w:p>
    <w:p w:rsidR="00E6360B" w:rsidRPr="00D9250B" w:rsidRDefault="00E6360B"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Meetings can be held in person, by teleconference or by video conference.</w:t>
      </w:r>
    </w:p>
    <w:p w:rsidR="00E6360B" w:rsidRPr="00D9250B" w:rsidRDefault="00E6360B"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The </w:t>
      </w:r>
      <w:r w:rsidR="004F0E87" w:rsidRPr="00D9250B">
        <w:rPr>
          <w:rFonts w:ascii="Arial" w:hAnsi="Arial" w:cs="Arial"/>
          <w:sz w:val="24"/>
          <w:szCs w:val="24"/>
        </w:rPr>
        <w:t xml:space="preserve">NBA General Manager may attend any Steering Committee meeting. </w:t>
      </w:r>
    </w:p>
    <w:p w:rsidR="00E6360B" w:rsidRPr="00D9250B" w:rsidRDefault="00E6360B"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The NBA shall be responsible for: </w:t>
      </w:r>
    </w:p>
    <w:p w:rsidR="00E6360B" w:rsidRPr="00D9250B" w:rsidRDefault="00E6360B" w:rsidP="0018224A">
      <w:pPr>
        <w:pStyle w:val="PlainText"/>
        <w:numPr>
          <w:ilvl w:val="0"/>
          <w:numId w:val="18"/>
        </w:numPr>
        <w:tabs>
          <w:tab w:val="left" w:pos="993"/>
        </w:tabs>
        <w:spacing w:before="120" w:after="120"/>
        <w:ind w:hanging="360"/>
        <w:rPr>
          <w:rFonts w:ascii="Arial" w:hAnsi="Arial" w:cs="Arial"/>
          <w:sz w:val="24"/>
          <w:szCs w:val="24"/>
        </w:rPr>
      </w:pPr>
      <w:r w:rsidRPr="00D9250B">
        <w:rPr>
          <w:rFonts w:ascii="Arial" w:hAnsi="Arial" w:cs="Arial"/>
          <w:sz w:val="24"/>
          <w:szCs w:val="24"/>
        </w:rPr>
        <w:t>providing secretarial support to the</w:t>
      </w:r>
      <w:r w:rsidR="00930F63">
        <w:rPr>
          <w:rFonts w:ascii="Arial" w:hAnsi="Arial" w:cs="Arial"/>
          <w:sz w:val="24"/>
          <w:szCs w:val="24"/>
        </w:rPr>
        <w:t xml:space="preserve"> Steering </w:t>
      </w:r>
      <w:r w:rsidRPr="00D9250B">
        <w:rPr>
          <w:rFonts w:ascii="Arial" w:hAnsi="Arial" w:cs="Arial"/>
          <w:sz w:val="24"/>
          <w:szCs w:val="24"/>
        </w:rPr>
        <w:t xml:space="preserve">Committee; </w:t>
      </w:r>
    </w:p>
    <w:p w:rsidR="00E6360B" w:rsidRPr="00D9250B" w:rsidRDefault="00E6360B" w:rsidP="0018224A">
      <w:pPr>
        <w:pStyle w:val="PlainText"/>
        <w:numPr>
          <w:ilvl w:val="0"/>
          <w:numId w:val="18"/>
        </w:numPr>
        <w:tabs>
          <w:tab w:val="left" w:pos="993"/>
        </w:tabs>
        <w:spacing w:before="120" w:after="120"/>
        <w:ind w:hanging="360"/>
        <w:rPr>
          <w:rFonts w:ascii="Arial" w:hAnsi="Arial" w:cs="Arial"/>
          <w:sz w:val="24"/>
          <w:szCs w:val="24"/>
        </w:rPr>
      </w:pPr>
      <w:r w:rsidRPr="00D9250B">
        <w:rPr>
          <w:rFonts w:ascii="Arial" w:hAnsi="Arial" w:cs="Arial"/>
          <w:sz w:val="24"/>
          <w:szCs w:val="24"/>
        </w:rPr>
        <w:t xml:space="preserve">ensuring that an agenda is circulated, at least one week prior to the meeting, together with any supporting papers after approval from the Chair; </w:t>
      </w:r>
    </w:p>
    <w:p w:rsidR="00E6360B" w:rsidRPr="00D9250B" w:rsidRDefault="00E6360B" w:rsidP="0018224A">
      <w:pPr>
        <w:pStyle w:val="PlainText"/>
        <w:numPr>
          <w:ilvl w:val="0"/>
          <w:numId w:val="18"/>
        </w:numPr>
        <w:tabs>
          <w:tab w:val="left" w:pos="993"/>
        </w:tabs>
        <w:spacing w:before="120" w:after="120"/>
        <w:ind w:hanging="360"/>
        <w:rPr>
          <w:rFonts w:ascii="Arial" w:hAnsi="Arial" w:cs="Arial"/>
          <w:sz w:val="24"/>
          <w:szCs w:val="24"/>
        </w:rPr>
      </w:pPr>
      <w:r w:rsidRPr="00D9250B">
        <w:rPr>
          <w:rFonts w:ascii="Arial" w:hAnsi="Arial" w:cs="Arial"/>
          <w:sz w:val="24"/>
          <w:szCs w:val="24"/>
        </w:rPr>
        <w:t>ensuring minutes of meetings are compiled and promptly provided to the Chair for approval; and</w:t>
      </w:r>
    </w:p>
    <w:p w:rsidR="00E6360B" w:rsidRPr="00D9250B" w:rsidRDefault="00E6360B" w:rsidP="0018224A">
      <w:pPr>
        <w:pStyle w:val="PlainText"/>
        <w:numPr>
          <w:ilvl w:val="0"/>
          <w:numId w:val="18"/>
        </w:numPr>
        <w:tabs>
          <w:tab w:val="left" w:pos="993"/>
        </w:tabs>
        <w:spacing w:before="120" w:after="120"/>
        <w:ind w:hanging="360"/>
        <w:rPr>
          <w:rFonts w:ascii="Arial" w:hAnsi="Arial" w:cs="Arial"/>
          <w:sz w:val="24"/>
          <w:szCs w:val="24"/>
        </w:rPr>
      </w:pPr>
      <w:proofErr w:type="gramStart"/>
      <w:r w:rsidRPr="00D9250B">
        <w:rPr>
          <w:rFonts w:ascii="Arial" w:hAnsi="Arial" w:cs="Arial"/>
          <w:sz w:val="24"/>
          <w:szCs w:val="24"/>
        </w:rPr>
        <w:t>minutes</w:t>
      </w:r>
      <w:proofErr w:type="gramEnd"/>
      <w:r w:rsidRPr="00D9250B">
        <w:rPr>
          <w:rFonts w:ascii="Arial" w:hAnsi="Arial" w:cs="Arial"/>
          <w:sz w:val="24"/>
          <w:szCs w:val="24"/>
        </w:rPr>
        <w:t xml:space="preserve"> must then be circulated within two weeks of the meeting to each member and </w:t>
      </w:r>
      <w:r w:rsidR="00930F63">
        <w:rPr>
          <w:rFonts w:ascii="Arial" w:hAnsi="Arial" w:cs="Arial"/>
          <w:sz w:val="24"/>
          <w:szCs w:val="24"/>
        </w:rPr>
        <w:t xml:space="preserve">Steering </w:t>
      </w:r>
      <w:r w:rsidRPr="00D9250B">
        <w:rPr>
          <w:rFonts w:ascii="Arial" w:hAnsi="Arial" w:cs="Arial"/>
          <w:sz w:val="24"/>
          <w:szCs w:val="24"/>
        </w:rPr>
        <w:t>Committee observers, as appropriate.</w:t>
      </w:r>
    </w:p>
    <w:p w:rsidR="004F0E87" w:rsidRPr="00D9250B" w:rsidRDefault="004F0E87" w:rsidP="004F0E87">
      <w:pPr>
        <w:rPr>
          <w:rFonts w:cs="Arial"/>
          <w:b/>
        </w:rPr>
      </w:pPr>
      <w:r w:rsidRPr="00D9250B">
        <w:rPr>
          <w:rFonts w:cs="Arial"/>
          <w:b/>
        </w:rPr>
        <w:t>Out of session activities</w:t>
      </w:r>
    </w:p>
    <w:p w:rsidR="004F0E87" w:rsidRPr="00D9250B" w:rsidRDefault="004F0E87"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The Steering Committee may, in accordance with a process determined by the Chair, undertake activities to give advice or assistance to the NBA out of session, in a manner consistent, as far as possible, with the application of these procedures to meetings of the Steering Committee.</w:t>
      </w:r>
    </w:p>
    <w:p w:rsidR="004F0E87" w:rsidRPr="00D9250B" w:rsidRDefault="004F0E87"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Members may be called upon for ad-hoc advice via email between meetings.</w:t>
      </w:r>
    </w:p>
    <w:p w:rsidR="004F0E87" w:rsidRPr="00D9250B" w:rsidRDefault="004F0E87"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Members should not undertake out of session activities in their capacity as Steering Committee without the prior approval of the Chair.</w:t>
      </w:r>
    </w:p>
    <w:p w:rsidR="00E6360B" w:rsidRPr="00D9250B" w:rsidRDefault="00E6360B" w:rsidP="00E6360B">
      <w:pPr>
        <w:pStyle w:val="PlainText"/>
        <w:spacing w:before="120" w:after="120"/>
        <w:rPr>
          <w:rFonts w:ascii="Arial" w:hAnsi="Arial" w:cs="Arial"/>
          <w:b/>
          <w:sz w:val="24"/>
          <w:szCs w:val="24"/>
        </w:rPr>
      </w:pPr>
      <w:r w:rsidRPr="00D9250B">
        <w:rPr>
          <w:rFonts w:ascii="Arial" w:hAnsi="Arial" w:cs="Arial"/>
          <w:b/>
          <w:sz w:val="24"/>
          <w:szCs w:val="24"/>
        </w:rPr>
        <w:t>Conflicts of Interest</w:t>
      </w:r>
    </w:p>
    <w:p w:rsidR="00E6360B" w:rsidRPr="00D9250B" w:rsidRDefault="00E6360B"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Once a year </w:t>
      </w:r>
      <w:r w:rsidR="004F0E87" w:rsidRPr="00D9250B">
        <w:rPr>
          <w:rFonts w:ascii="Arial" w:hAnsi="Arial" w:cs="Arial"/>
          <w:sz w:val="24"/>
          <w:szCs w:val="24"/>
        </w:rPr>
        <w:t xml:space="preserve">Steering </w:t>
      </w:r>
      <w:r w:rsidRPr="00D9250B">
        <w:rPr>
          <w:rFonts w:ascii="Arial" w:hAnsi="Arial" w:cs="Arial"/>
          <w:sz w:val="24"/>
          <w:szCs w:val="24"/>
        </w:rPr>
        <w:t xml:space="preserve">Committee members will provide written declarations to the </w:t>
      </w:r>
      <w:r w:rsidR="00930F63">
        <w:rPr>
          <w:rFonts w:ascii="Arial" w:hAnsi="Arial" w:cs="Arial"/>
          <w:sz w:val="24"/>
          <w:szCs w:val="24"/>
        </w:rPr>
        <w:t xml:space="preserve">NBA </w:t>
      </w:r>
      <w:r w:rsidRPr="00D9250B">
        <w:rPr>
          <w:rFonts w:ascii="Arial" w:hAnsi="Arial" w:cs="Arial"/>
          <w:sz w:val="24"/>
          <w:szCs w:val="24"/>
        </w:rPr>
        <w:t xml:space="preserve">General Manager stating they do not have any conflicts of interest that would preclude them from being members of the </w:t>
      </w:r>
      <w:r w:rsidR="00930F63">
        <w:rPr>
          <w:rFonts w:ascii="Arial" w:hAnsi="Arial" w:cs="Arial"/>
          <w:sz w:val="24"/>
          <w:szCs w:val="24"/>
        </w:rPr>
        <w:t xml:space="preserve">Steering </w:t>
      </w:r>
      <w:r w:rsidRPr="00D9250B">
        <w:rPr>
          <w:rFonts w:ascii="Arial" w:hAnsi="Arial" w:cs="Arial"/>
          <w:sz w:val="24"/>
          <w:szCs w:val="24"/>
        </w:rPr>
        <w:t>Committee.</w:t>
      </w:r>
    </w:p>
    <w:p w:rsidR="00E6360B" w:rsidRPr="00D9250B" w:rsidRDefault="00930F63" w:rsidP="0018224A">
      <w:pPr>
        <w:pStyle w:val="PlainText"/>
        <w:numPr>
          <w:ilvl w:val="0"/>
          <w:numId w:val="14"/>
        </w:numPr>
        <w:tabs>
          <w:tab w:val="left" w:pos="709"/>
        </w:tabs>
        <w:spacing w:before="120" w:after="120"/>
        <w:rPr>
          <w:rFonts w:ascii="Arial" w:hAnsi="Arial" w:cs="Arial"/>
          <w:sz w:val="24"/>
          <w:szCs w:val="24"/>
        </w:rPr>
      </w:pPr>
      <w:r>
        <w:rPr>
          <w:rFonts w:ascii="Arial" w:hAnsi="Arial" w:cs="Arial"/>
          <w:sz w:val="24"/>
          <w:szCs w:val="24"/>
        </w:rPr>
        <w:t xml:space="preserve">Steering </w:t>
      </w:r>
      <w:r w:rsidR="00E6360B" w:rsidRPr="00D9250B">
        <w:rPr>
          <w:rFonts w:ascii="Arial" w:hAnsi="Arial" w:cs="Arial"/>
          <w:sz w:val="24"/>
          <w:szCs w:val="24"/>
        </w:rPr>
        <w:t>Committee members must declare any conflicts of interest at the start of each meeting or before discussion of the relevant agenda item or topic. Details of any conflicts of interest should be appropriately minuted.</w:t>
      </w:r>
    </w:p>
    <w:p w:rsidR="004F0E87" w:rsidRPr="00D9250B" w:rsidRDefault="004F0E87"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Members will use a form of declaration notified by the NBA.</w:t>
      </w:r>
    </w:p>
    <w:p w:rsidR="009C5CD5" w:rsidRPr="00D9250B" w:rsidRDefault="009C5CD5" w:rsidP="009C5CD5">
      <w:pPr>
        <w:rPr>
          <w:rFonts w:cs="Arial"/>
          <w:b/>
        </w:rPr>
      </w:pPr>
      <w:bookmarkStart w:id="24" w:name="APPENDIX1"/>
      <w:r w:rsidRPr="00D9250B">
        <w:rPr>
          <w:rFonts w:cs="Arial"/>
          <w:b/>
        </w:rPr>
        <w:t>Conduct</w:t>
      </w:r>
    </w:p>
    <w:p w:rsidR="009C5CD5" w:rsidRPr="00D9250B" w:rsidRDefault="009C5CD5"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Members of the Steering Committee hold a public office and accordingly are expected to carry out their role as members in accordance with the highest ethical standards.  A Steering Committee member should:</w:t>
      </w:r>
    </w:p>
    <w:p w:rsidR="009C5CD5" w:rsidRPr="00D9250B" w:rsidRDefault="009C5CD5"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act honestly and in good faith;</w:t>
      </w:r>
    </w:p>
    <w:p w:rsidR="009C5CD5" w:rsidRPr="00D9250B" w:rsidRDefault="009C5CD5"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use due care and diligence;</w:t>
      </w:r>
    </w:p>
    <w:p w:rsidR="009C5CD5" w:rsidRPr="00D9250B" w:rsidRDefault="009C5CD5"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only use their office for a proper purpose;</w:t>
      </w:r>
    </w:p>
    <w:p w:rsidR="009C5CD5" w:rsidRPr="00D9250B" w:rsidRDefault="009C5CD5"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have regard to the interests of all stakeholders;</w:t>
      </w:r>
    </w:p>
    <w:p w:rsidR="009C5CD5" w:rsidRPr="00D9250B" w:rsidRDefault="009C5CD5"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not make improper use of information acquired as a Steering Committee member, both during and after the term of appointment;</w:t>
      </w:r>
    </w:p>
    <w:p w:rsidR="009C5CD5" w:rsidRPr="00D9250B" w:rsidRDefault="009C5CD5"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be fair, honest and courteous in interactions with other Members, NBA and stakeholders;</w:t>
      </w:r>
    </w:p>
    <w:p w:rsidR="009C5CD5" w:rsidRPr="00D9250B" w:rsidRDefault="009C5CD5"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lastRenderedPageBreak/>
        <w:t>contribute to NBA activities in a co</w:t>
      </w:r>
      <w:r w:rsidRPr="00D9250B">
        <w:rPr>
          <w:rFonts w:ascii="Arial" w:hAnsi="Arial" w:cs="Arial"/>
          <w:sz w:val="24"/>
          <w:szCs w:val="24"/>
        </w:rPr>
        <w:noBreakHyphen/>
        <w:t>operative, impartial and productive way;</w:t>
      </w:r>
    </w:p>
    <w:p w:rsidR="009C5CD5" w:rsidRPr="00D9250B" w:rsidRDefault="009C5CD5" w:rsidP="0018224A">
      <w:pPr>
        <w:pStyle w:val="PlainText"/>
        <w:numPr>
          <w:ilvl w:val="1"/>
          <w:numId w:val="14"/>
        </w:numPr>
        <w:tabs>
          <w:tab w:val="clear" w:pos="1080"/>
        </w:tabs>
        <w:spacing w:before="120" w:after="120"/>
        <w:ind w:left="720"/>
        <w:rPr>
          <w:rFonts w:ascii="Arial" w:hAnsi="Arial" w:cs="Arial"/>
          <w:sz w:val="24"/>
          <w:szCs w:val="24"/>
        </w:rPr>
      </w:pPr>
      <w:r w:rsidRPr="00D9250B">
        <w:rPr>
          <w:rFonts w:ascii="Arial" w:hAnsi="Arial" w:cs="Arial"/>
          <w:sz w:val="24"/>
          <w:szCs w:val="24"/>
        </w:rPr>
        <w:t>be independent in judgement and actions and to take all reasonable steps to be satisfied as to the soundness of advice provided by the Steering Committee; and</w:t>
      </w:r>
    </w:p>
    <w:p w:rsidR="009C5CD5" w:rsidRPr="00D9250B" w:rsidRDefault="009C5CD5" w:rsidP="0018224A">
      <w:pPr>
        <w:pStyle w:val="PlainText"/>
        <w:numPr>
          <w:ilvl w:val="1"/>
          <w:numId w:val="14"/>
        </w:numPr>
        <w:tabs>
          <w:tab w:val="clear" w:pos="1080"/>
        </w:tabs>
        <w:spacing w:before="120" w:after="120"/>
        <w:ind w:left="720"/>
        <w:rPr>
          <w:rFonts w:ascii="Arial" w:hAnsi="Arial" w:cs="Arial"/>
          <w:sz w:val="24"/>
          <w:szCs w:val="24"/>
        </w:rPr>
      </w:pPr>
      <w:proofErr w:type="gramStart"/>
      <w:r w:rsidRPr="00D9250B">
        <w:rPr>
          <w:rFonts w:ascii="Arial" w:hAnsi="Arial" w:cs="Arial"/>
          <w:sz w:val="24"/>
          <w:szCs w:val="24"/>
        </w:rPr>
        <w:t>not</w:t>
      </w:r>
      <w:proofErr w:type="gramEnd"/>
      <w:r w:rsidRPr="00D9250B">
        <w:rPr>
          <w:rFonts w:ascii="Arial" w:hAnsi="Arial" w:cs="Arial"/>
          <w:sz w:val="24"/>
          <w:szCs w:val="24"/>
        </w:rPr>
        <w:t xml:space="preserve"> engage in conduct likely to bring discredit upon the NBA or ABDR.</w:t>
      </w:r>
    </w:p>
    <w:p w:rsidR="009C5CD5" w:rsidRPr="00D9250B" w:rsidRDefault="009C5CD5" w:rsidP="009C5CD5">
      <w:pPr>
        <w:rPr>
          <w:rFonts w:cs="Arial"/>
        </w:rPr>
      </w:pPr>
      <w:r w:rsidRPr="00D9250B">
        <w:rPr>
          <w:rFonts w:cs="Arial"/>
          <w:b/>
        </w:rPr>
        <w:t>Publicly representing the NBA</w:t>
      </w:r>
    </w:p>
    <w:p w:rsidR="009C5CD5" w:rsidRPr="00D9250B" w:rsidRDefault="009C5CD5"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Members are not NBA officers or employees and are not normally authorised to talk on behalf of the NBA.  Members should take special care to ensure that they are not considered to be talking or acting on behalf of the NBA when they are not</w:t>
      </w:r>
      <w:r w:rsidR="0005063D">
        <w:rPr>
          <w:rFonts w:ascii="Arial" w:hAnsi="Arial" w:cs="Arial"/>
          <w:sz w:val="24"/>
          <w:szCs w:val="24"/>
        </w:rPr>
        <w:t xml:space="preserve"> authorised to do so</w:t>
      </w:r>
      <w:r w:rsidRPr="00D9250B">
        <w:rPr>
          <w:rFonts w:ascii="Arial" w:hAnsi="Arial" w:cs="Arial"/>
          <w:sz w:val="24"/>
          <w:szCs w:val="24"/>
        </w:rPr>
        <w:t>.  In the event that that a Member presents on behalf of the NBA, the presentation must be agreed with the Chair and the NBA</w:t>
      </w:r>
      <w:r w:rsidR="00930F63">
        <w:rPr>
          <w:rFonts w:ascii="Arial" w:hAnsi="Arial" w:cs="Arial"/>
          <w:sz w:val="24"/>
          <w:szCs w:val="24"/>
        </w:rPr>
        <w:t xml:space="preserve"> General Manager</w:t>
      </w:r>
      <w:r w:rsidRPr="00D9250B">
        <w:rPr>
          <w:rFonts w:ascii="Arial" w:hAnsi="Arial" w:cs="Arial"/>
          <w:sz w:val="24"/>
          <w:szCs w:val="24"/>
        </w:rPr>
        <w:t xml:space="preserve"> in advance.</w:t>
      </w:r>
    </w:p>
    <w:p w:rsidR="009C5CD5" w:rsidRPr="00D9250B" w:rsidRDefault="009C5CD5"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A Member must not express any opinion, make any commitment, or otherwise purport to represent or act on behalf of the NBA, unless specifically requested by the Chair or the NBA</w:t>
      </w:r>
      <w:r w:rsidR="00930F63">
        <w:rPr>
          <w:rFonts w:ascii="Arial" w:hAnsi="Arial" w:cs="Arial"/>
          <w:sz w:val="24"/>
          <w:szCs w:val="24"/>
        </w:rPr>
        <w:t xml:space="preserve"> General Manager</w:t>
      </w:r>
      <w:r w:rsidRPr="00D9250B">
        <w:rPr>
          <w:rFonts w:ascii="Arial" w:hAnsi="Arial" w:cs="Arial"/>
          <w:sz w:val="24"/>
          <w:szCs w:val="24"/>
        </w:rPr>
        <w:t xml:space="preserve"> to do so.</w:t>
      </w:r>
    </w:p>
    <w:p w:rsidR="009C5CD5" w:rsidRPr="00D9250B" w:rsidRDefault="009C5CD5" w:rsidP="009C5CD5">
      <w:pPr>
        <w:rPr>
          <w:rFonts w:cs="Arial"/>
        </w:rPr>
      </w:pPr>
      <w:r w:rsidRPr="00D9250B">
        <w:rPr>
          <w:rFonts w:cs="Arial"/>
          <w:b/>
        </w:rPr>
        <w:t>Remuneration and allowances</w:t>
      </w:r>
    </w:p>
    <w:p w:rsidR="009C5CD5" w:rsidRDefault="009C5CD5"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Members may be entitled to remuneration and allowances in accordance with section 39 of the NBA Act.  A Member must comply with procedures notified by the </w:t>
      </w:r>
      <w:r w:rsidR="00930F63">
        <w:rPr>
          <w:rFonts w:ascii="Arial" w:hAnsi="Arial" w:cs="Arial"/>
          <w:sz w:val="24"/>
          <w:szCs w:val="24"/>
        </w:rPr>
        <w:t xml:space="preserve">NBA </w:t>
      </w:r>
      <w:r w:rsidRPr="00D9250B">
        <w:rPr>
          <w:rFonts w:ascii="Arial" w:hAnsi="Arial" w:cs="Arial"/>
          <w:sz w:val="24"/>
          <w:szCs w:val="24"/>
        </w:rPr>
        <w:t>General Manager in relation to the calculation and payment of allowances, including in relation to the keeping of time records for out of session activities.</w:t>
      </w:r>
      <w:r w:rsidR="0016211B">
        <w:rPr>
          <w:rFonts w:ascii="Arial" w:hAnsi="Arial" w:cs="Arial"/>
          <w:sz w:val="24"/>
          <w:szCs w:val="24"/>
        </w:rPr>
        <w:t xml:space="preserve"> Refer to Annex B for further information.</w:t>
      </w:r>
    </w:p>
    <w:p w:rsidR="009C5CD5" w:rsidRPr="00D9250B" w:rsidRDefault="009C5CD5" w:rsidP="009C5CD5">
      <w:pPr>
        <w:rPr>
          <w:rFonts w:cs="Arial"/>
          <w:b/>
        </w:rPr>
      </w:pPr>
      <w:r w:rsidRPr="00D9250B">
        <w:rPr>
          <w:rFonts w:cs="Arial"/>
          <w:b/>
        </w:rPr>
        <w:t>Assessment Arrangements</w:t>
      </w:r>
    </w:p>
    <w:p w:rsidR="009C5CD5" w:rsidRPr="00D9250B" w:rsidRDefault="009C5CD5"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 xml:space="preserve">The Chair, in consultation with the General Manager, will initiate a review of the performance of the </w:t>
      </w:r>
      <w:r w:rsidR="0034280F">
        <w:rPr>
          <w:rFonts w:ascii="Arial" w:hAnsi="Arial" w:cs="Arial"/>
          <w:sz w:val="24"/>
          <w:szCs w:val="24"/>
        </w:rPr>
        <w:t>Steering C</w:t>
      </w:r>
      <w:r w:rsidRPr="00D9250B">
        <w:rPr>
          <w:rFonts w:ascii="Arial" w:hAnsi="Arial" w:cs="Arial"/>
          <w:sz w:val="24"/>
          <w:szCs w:val="24"/>
        </w:rPr>
        <w:t>ommittee annually. The review will be conducted on a self-assessment basis (unless otherwise determined by the General Manager) with appropriate input sought from the management of key stakeholders, including HTC Directors, the AHCDO executive, NBA, HFA and AHNG.</w:t>
      </w:r>
    </w:p>
    <w:p w:rsidR="009C5CD5" w:rsidRPr="00D9250B" w:rsidRDefault="009C5CD5" w:rsidP="009C5CD5">
      <w:pPr>
        <w:rPr>
          <w:rFonts w:cs="Arial"/>
          <w:b/>
        </w:rPr>
      </w:pPr>
      <w:r w:rsidRPr="00D9250B">
        <w:rPr>
          <w:rFonts w:cs="Arial"/>
          <w:b/>
        </w:rPr>
        <w:t>Indemnity policy</w:t>
      </w:r>
    </w:p>
    <w:p w:rsidR="00B25525" w:rsidRDefault="009C5CD5" w:rsidP="0018224A">
      <w:pPr>
        <w:pStyle w:val="PlainText"/>
        <w:numPr>
          <w:ilvl w:val="0"/>
          <w:numId w:val="14"/>
        </w:numPr>
        <w:tabs>
          <w:tab w:val="left" w:pos="709"/>
        </w:tabs>
        <w:spacing w:before="120" w:after="120"/>
        <w:rPr>
          <w:rFonts w:ascii="Arial" w:hAnsi="Arial" w:cs="Arial"/>
          <w:sz w:val="24"/>
          <w:szCs w:val="24"/>
        </w:rPr>
      </w:pPr>
      <w:r w:rsidRPr="00D9250B">
        <w:rPr>
          <w:rFonts w:ascii="Arial" w:hAnsi="Arial" w:cs="Arial"/>
          <w:sz w:val="24"/>
          <w:szCs w:val="24"/>
        </w:rPr>
        <w:t>Members are within the scope of the Commonwealth government’s policy on indemnification of persons acting in an official capacity for the Commonwealth. This policy will apply where a member acts reasonably and responsibly, but not in situations involving serious or wilful misconduct or culpable negligence.  The application of the policy is conditional on the Member agreeing that the defence of the claim may be controlled by the Commonwealth, and on the Member assisting in the defence of the claim.</w:t>
      </w:r>
    </w:p>
    <w:bookmarkEnd w:id="24"/>
    <w:p w:rsidR="00B25525" w:rsidRPr="00B25525" w:rsidRDefault="00B25525" w:rsidP="00FC7A98">
      <w:pPr>
        <w:autoSpaceDE w:val="0"/>
        <w:autoSpaceDN w:val="0"/>
        <w:adjustRightInd w:val="0"/>
        <w:spacing w:before="0" w:after="0" w:line="287" w:lineRule="auto"/>
        <w:rPr>
          <w:rFonts w:cs="Arial"/>
        </w:rPr>
      </w:pPr>
    </w:p>
    <w:sectPr w:rsidR="00B25525" w:rsidRPr="00B25525" w:rsidSect="00DF3BD6">
      <w:headerReference w:type="default" r:id="rId24"/>
      <w:footerReference w:type="default" r:id="rId25"/>
      <w:headerReference w:type="first" r:id="rId26"/>
      <w:footerReference w:type="first" r:id="rId27"/>
      <w:pgSz w:w="11906" w:h="16838" w:code="9"/>
      <w:pgMar w:top="1440" w:right="1440" w:bottom="1440" w:left="1440" w:header="34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FEF" w:rsidRDefault="002C4FEF">
      <w:r>
        <w:separator/>
      </w:r>
    </w:p>
  </w:endnote>
  <w:endnote w:type="continuationSeparator" w:id="0">
    <w:p w:rsidR="002C4FEF" w:rsidRDefault="002C4FEF">
      <w:r>
        <w:continuationSeparator/>
      </w:r>
    </w:p>
  </w:endnote>
  <w:endnote w:type="continuationNotice" w:id="1">
    <w:p w:rsidR="002C4FEF" w:rsidRDefault="002C4FE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Helvetica Neue"/>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FEF" w:rsidRDefault="002C4FEF" w:rsidP="00BF3A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C4FEF" w:rsidRDefault="002C4FEF" w:rsidP="008510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FEF" w:rsidRPr="00665957" w:rsidRDefault="002C4FEF" w:rsidP="00A32A2B">
    <w:pPr>
      <w:pStyle w:val="Footer"/>
      <w:jc w:val="right"/>
      <w:rPr>
        <w:sz w:val="20"/>
        <w:szCs w:val="20"/>
      </w:rPr>
    </w:pPr>
    <w:r w:rsidRPr="00665957">
      <w:rPr>
        <w:sz w:val="20"/>
        <w:szCs w:val="20"/>
      </w:rPr>
      <w:t xml:space="preserve">Page </w:t>
    </w:r>
    <w:r w:rsidRPr="00665957">
      <w:rPr>
        <w:sz w:val="20"/>
        <w:szCs w:val="20"/>
      </w:rPr>
      <w:fldChar w:fldCharType="begin"/>
    </w:r>
    <w:r w:rsidRPr="00665957">
      <w:rPr>
        <w:sz w:val="20"/>
        <w:szCs w:val="20"/>
      </w:rPr>
      <w:instrText xml:space="preserve"> PAGE </w:instrText>
    </w:r>
    <w:r w:rsidRPr="00665957">
      <w:rPr>
        <w:sz w:val="20"/>
        <w:szCs w:val="20"/>
      </w:rPr>
      <w:fldChar w:fldCharType="separate"/>
    </w:r>
    <w:r w:rsidR="00E95B24">
      <w:rPr>
        <w:noProof/>
        <w:sz w:val="20"/>
        <w:szCs w:val="20"/>
      </w:rPr>
      <w:t>2</w:t>
    </w:r>
    <w:r w:rsidRPr="00665957">
      <w:rPr>
        <w:sz w:val="20"/>
        <w:szCs w:val="20"/>
      </w:rPr>
      <w:fldChar w:fldCharType="end"/>
    </w:r>
    <w:r w:rsidRPr="00665957">
      <w:rPr>
        <w:sz w:val="20"/>
        <w:szCs w:val="20"/>
      </w:rPr>
      <w:t xml:space="preserve"> </w:t>
    </w:r>
  </w:p>
  <w:p w:rsidR="002C4FEF" w:rsidRPr="002619DB" w:rsidRDefault="002C4FEF" w:rsidP="00A32A2B">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FEF" w:rsidRPr="00665957" w:rsidRDefault="002C4FEF" w:rsidP="00D3025F">
    <w:pPr>
      <w:pStyle w:val="Footer"/>
      <w:spacing w:before="0" w:after="0"/>
      <w:jc w:val="right"/>
      <w:rPr>
        <w:sz w:val="20"/>
        <w:szCs w:val="20"/>
      </w:rPr>
    </w:pPr>
    <w:r w:rsidRPr="00665957">
      <w:rPr>
        <w:sz w:val="20"/>
        <w:szCs w:val="20"/>
      </w:rPr>
      <w:t xml:space="preserve">Page </w:t>
    </w:r>
    <w:r w:rsidRPr="00665957">
      <w:rPr>
        <w:sz w:val="20"/>
        <w:szCs w:val="20"/>
      </w:rPr>
      <w:fldChar w:fldCharType="begin"/>
    </w:r>
    <w:r w:rsidRPr="00665957">
      <w:rPr>
        <w:sz w:val="20"/>
        <w:szCs w:val="20"/>
      </w:rPr>
      <w:instrText xml:space="preserve"> PAGE </w:instrText>
    </w:r>
    <w:r w:rsidRPr="00665957">
      <w:rPr>
        <w:sz w:val="20"/>
        <w:szCs w:val="20"/>
      </w:rPr>
      <w:fldChar w:fldCharType="separate"/>
    </w:r>
    <w:r w:rsidR="00E95B24">
      <w:rPr>
        <w:noProof/>
        <w:sz w:val="20"/>
        <w:szCs w:val="20"/>
      </w:rPr>
      <w:t>13</w:t>
    </w:r>
    <w:r w:rsidRPr="00665957">
      <w:rPr>
        <w:sz w:val="20"/>
        <w:szCs w:val="20"/>
      </w:rPr>
      <w:fldChar w:fldCharType="end"/>
    </w:r>
    <w:r w:rsidRPr="00665957">
      <w:rPr>
        <w:sz w:val="20"/>
        <w:szCs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FEF" w:rsidRPr="00665957" w:rsidRDefault="002C4FEF" w:rsidP="00665957">
    <w:pPr>
      <w:pStyle w:val="Footer"/>
      <w:spacing w:before="0" w:after="0"/>
      <w:jc w:val="right"/>
      <w:rPr>
        <w:sz w:val="20"/>
        <w:szCs w:val="20"/>
      </w:rPr>
    </w:pPr>
    <w:r w:rsidRPr="00665957">
      <w:rPr>
        <w:sz w:val="20"/>
        <w:szCs w:val="20"/>
      </w:rPr>
      <w:t xml:space="preserve">Page </w:t>
    </w:r>
    <w:r w:rsidRPr="00665957">
      <w:rPr>
        <w:sz w:val="20"/>
        <w:szCs w:val="20"/>
      </w:rPr>
      <w:fldChar w:fldCharType="begin"/>
    </w:r>
    <w:r w:rsidRPr="00665957">
      <w:rPr>
        <w:sz w:val="20"/>
        <w:szCs w:val="20"/>
      </w:rPr>
      <w:instrText xml:space="preserve"> PAGE </w:instrText>
    </w:r>
    <w:r w:rsidRPr="00665957">
      <w:rPr>
        <w:sz w:val="20"/>
        <w:szCs w:val="20"/>
      </w:rPr>
      <w:fldChar w:fldCharType="separate"/>
    </w:r>
    <w:r w:rsidR="00E95B24">
      <w:rPr>
        <w:noProof/>
        <w:sz w:val="20"/>
        <w:szCs w:val="20"/>
      </w:rPr>
      <w:t>1</w:t>
    </w:r>
    <w:r w:rsidRPr="00665957">
      <w:rPr>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FEF" w:rsidRPr="00491560" w:rsidRDefault="00B51ABC" w:rsidP="00491560">
    <w:pPr>
      <w:pStyle w:val="Footer"/>
      <w:spacing w:before="0" w:after="0"/>
      <w:jc w:val="right"/>
      <w:rPr>
        <w:sz w:val="20"/>
        <w:szCs w:val="20"/>
      </w:rPr>
    </w:pPr>
    <w:r>
      <w:rPr>
        <w:sz w:val="20"/>
        <w:szCs w:val="20"/>
      </w:rPr>
      <w:t>Annex</w:t>
    </w:r>
    <w:r w:rsidR="002C4FEF" w:rsidRPr="00491560">
      <w:rPr>
        <w:sz w:val="20"/>
        <w:szCs w:val="20"/>
      </w:rPr>
      <w:t xml:space="preserve"> </w:t>
    </w:r>
    <w:r w:rsidR="002C4FEF">
      <w:rPr>
        <w:sz w:val="20"/>
        <w:szCs w:val="20"/>
      </w:rPr>
      <w:t>A</w:t>
    </w:r>
    <w:r w:rsidR="002C4FEF" w:rsidRPr="00491560">
      <w:rPr>
        <w:sz w:val="20"/>
        <w:szCs w:val="20"/>
      </w:rPr>
      <w:t xml:space="preserve"> – Page </w:t>
    </w:r>
    <w:r w:rsidR="002C4FEF" w:rsidRPr="00491560">
      <w:rPr>
        <w:rStyle w:val="PageNumber"/>
        <w:sz w:val="20"/>
        <w:szCs w:val="20"/>
      </w:rPr>
      <w:fldChar w:fldCharType="begin"/>
    </w:r>
    <w:r w:rsidR="002C4FEF" w:rsidRPr="00491560">
      <w:rPr>
        <w:rStyle w:val="PageNumber"/>
        <w:sz w:val="20"/>
        <w:szCs w:val="20"/>
      </w:rPr>
      <w:instrText xml:space="preserve"> PAGE </w:instrText>
    </w:r>
    <w:r w:rsidR="002C4FEF" w:rsidRPr="00491560">
      <w:rPr>
        <w:rStyle w:val="PageNumber"/>
        <w:sz w:val="20"/>
        <w:szCs w:val="20"/>
      </w:rPr>
      <w:fldChar w:fldCharType="separate"/>
    </w:r>
    <w:r w:rsidR="00E95B24">
      <w:rPr>
        <w:rStyle w:val="PageNumber"/>
        <w:noProof/>
        <w:sz w:val="20"/>
        <w:szCs w:val="20"/>
      </w:rPr>
      <w:t>22</w:t>
    </w:r>
    <w:r w:rsidR="002C4FEF" w:rsidRPr="00491560">
      <w:rPr>
        <w:rStyle w:val="PageNumber"/>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FEF" w:rsidRPr="0048309B" w:rsidRDefault="002C4FEF" w:rsidP="00491560">
    <w:pPr>
      <w:pStyle w:val="Footer"/>
      <w:spacing w:before="0" w:after="0"/>
      <w:jc w:val="right"/>
      <w:rPr>
        <w:sz w:val="20"/>
        <w:szCs w:val="20"/>
      </w:rPr>
    </w:pPr>
    <w:r w:rsidRPr="0048309B">
      <w:rPr>
        <w:sz w:val="20"/>
        <w:szCs w:val="20"/>
      </w:rPr>
      <w:t xml:space="preserve">Annex </w:t>
    </w:r>
    <w:r w:rsidR="00B51ABC">
      <w:rPr>
        <w:sz w:val="20"/>
        <w:szCs w:val="20"/>
      </w:rPr>
      <w:t>A</w:t>
    </w:r>
    <w:r w:rsidRPr="0048309B">
      <w:rPr>
        <w:sz w:val="20"/>
        <w:szCs w:val="20"/>
      </w:rPr>
      <w:t xml:space="preserve"> – Page </w:t>
    </w:r>
    <w:r w:rsidRPr="0048309B">
      <w:rPr>
        <w:rStyle w:val="PageNumber"/>
        <w:sz w:val="20"/>
        <w:szCs w:val="20"/>
      </w:rPr>
      <w:fldChar w:fldCharType="begin"/>
    </w:r>
    <w:r w:rsidRPr="0048309B">
      <w:rPr>
        <w:rStyle w:val="PageNumber"/>
        <w:sz w:val="20"/>
        <w:szCs w:val="20"/>
      </w:rPr>
      <w:instrText xml:space="preserve"> PAGE </w:instrText>
    </w:r>
    <w:r w:rsidRPr="0048309B">
      <w:rPr>
        <w:rStyle w:val="PageNumber"/>
        <w:sz w:val="20"/>
        <w:szCs w:val="20"/>
      </w:rPr>
      <w:fldChar w:fldCharType="separate"/>
    </w:r>
    <w:r w:rsidR="00E95B24">
      <w:rPr>
        <w:rStyle w:val="PageNumber"/>
        <w:noProof/>
        <w:sz w:val="20"/>
        <w:szCs w:val="20"/>
      </w:rPr>
      <w:t>14</w:t>
    </w:r>
    <w:r w:rsidRPr="0048309B">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FEF" w:rsidRDefault="002C4FEF">
      <w:r>
        <w:separator/>
      </w:r>
    </w:p>
  </w:footnote>
  <w:footnote w:type="continuationSeparator" w:id="0">
    <w:p w:rsidR="002C4FEF" w:rsidRDefault="002C4FEF">
      <w:r>
        <w:continuationSeparator/>
      </w:r>
    </w:p>
  </w:footnote>
  <w:footnote w:type="continuationNotice" w:id="1">
    <w:p w:rsidR="002C4FEF" w:rsidRDefault="002C4FEF">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FEF" w:rsidRDefault="002C4FEF" w:rsidP="00BF3A1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4FEF" w:rsidRDefault="002C4F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ABC" w:rsidRPr="00B51ABC" w:rsidRDefault="00B51ABC" w:rsidP="00B51A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ABC" w:rsidRDefault="00B51ABC" w:rsidP="00B51ABC">
    <w:pPr>
      <w:pStyle w:val="Header"/>
      <w:ind w:left="72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ABC" w:rsidRDefault="00B51ABC" w:rsidP="00B51ABC">
    <w:pPr>
      <w:pStyle w:val="Header"/>
      <w:jc w:val="right"/>
    </w:pPr>
    <w:r>
      <w:t>Annex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5800805C"/>
    <w:lvl w:ilvl="0">
      <w:start w:val="1"/>
      <w:numFmt w:val="decimal"/>
      <w:pStyle w:val="MELegal1"/>
      <w:lvlText w:val="%1."/>
      <w:lvlJc w:val="left"/>
      <w:pPr>
        <w:tabs>
          <w:tab w:val="num" w:pos="643"/>
        </w:tabs>
        <w:ind w:left="643" w:hanging="360"/>
      </w:pPr>
      <w:rPr>
        <w:rFonts w:cs="Times New Roman"/>
      </w:rPr>
    </w:lvl>
  </w:abstractNum>
  <w:abstractNum w:abstractNumId="1">
    <w:nsid w:val="097A2E6D"/>
    <w:multiLevelType w:val="multilevel"/>
    <w:tmpl w:val="88E427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o"/>
      <w:lvlJc w:val="left"/>
      <w:pPr>
        <w:tabs>
          <w:tab w:val="num" w:pos="1080"/>
        </w:tabs>
        <w:ind w:left="1080" w:hanging="360"/>
      </w:pPr>
      <w:rPr>
        <w:rFonts w:ascii="Courier New" w:hAnsi="Courier New" w:cs="Courier New"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1650384"/>
    <w:multiLevelType w:val="hybridMultilevel"/>
    <w:tmpl w:val="24287C7A"/>
    <w:lvl w:ilvl="0" w:tplc="DC08AEF2">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3">
    <w:nsid w:val="125922A0"/>
    <w:multiLevelType w:val="hybridMultilevel"/>
    <w:tmpl w:val="2AF67EEE"/>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48B4E18"/>
    <w:multiLevelType w:val="hybridMultilevel"/>
    <w:tmpl w:val="DFD0CC46"/>
    <w:lvl w:ilvl="0" w:tplc="4BE4CCD8">
      <w:start w:val="1"/>
      <w:numFmt w:val="bullet"/>
      <w:lvlText w:val=""/>
      <w:lvlJc w:val="left"/>
      <w:pPr>
        <w:tabs>
          <w:tab w:val="num" w:pos="1290"/>
        </w:tabs>
        <w:ind w:left="129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54112A2"/>
    <w:multiLevelType w:val="multilevel"/>
    <w:tmpl w:val="FB4E757E"/>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175E2A8F"/>
    <w:multiLevelType w:val="multilevel"/>
    <w:tmpl w:val="B30666F8"/>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Arial" w:eastAsia="Times New Roman" w:hAnsi="Arial" w:cs="Times New Roman"/>
      </w:rPr>
    </w:lvl>
    <w:lvl w:ilvl="2">
      <w:start w:val="1"/>
      <w:numFmt w:val="lowerRoman"/>
      <w:lvlText w:val="%3."/>
      <w:lvlJc w:val="left"/>
      <w:pPr>
        <w:tabs>
          <w:tab w:val="num" w:pos="1060"/>
        </w:tabs>
        <w:ind w:left="1060" w:hanging="340"/>
      </w:pPr>
      <w:rPr>
        <w:rFonts w:ascii="Arial" w:hAnsi="Aria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B6660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nsid w:val="1E2C34B3"/>
    <w:multiLevelType w:val="multilevel"/>
    <w:tmpl w:val="624A058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24ED400D"/>
    <w:multiLevelType w:val="hybridMultilevel"/>
    <w:tmpl w:val="D6A8A334"/>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25073F82"/>
    <w:multiLevelType w:val="hybridMultilevel"/>
    <w:tmpl w:val="45B0C3FC"/>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60F587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2AD323FF"/>
    <w:multiLevelType w:val="multilevel"/>
    <w:tmpl w:val="67BAD386"/>
    <w:lvl w:ilvl="0">
      <w:start w:val="1"/>
      <w:numFmt w:val="decimal"/>
      <w:lvlText w:val="%1."/>
      <w:lvlJc w:val="left"/>
      <w:pPr>
        <w:tabs>
          <w:tab w:val="num" w:pos="360"/>
        </w:tabs>
        <w:ind w:left="360" w:hanging="360"/>
      </w:pPr>
      <w:rPr>
        <w:rFonts w:hint="default"/>
      </w:rPr>
    </w:lvl>
    <w:lvl w:ilvl="1">
      <w:start w:val="1"/>
      <w:numFmt w:val="decimal"/>
      <w:pStyle w:val="PFNumLevel2"/>
      <w:lvlText w:val="%1.%2"/>
      <w:lvlJc w:val="left"/>
      <w:pPr>
        <w:tabs>
          <w:tab w:val="num" w:pos="924"/>
        </w:tabs>
        <w:ind w:left="924" w:hanging="924"/>
      </w:pPr>
      <w:rPr>
        <w:rFonts w:hint="default"/>
        <w:b w:val="0"/>
        <w:i w:val="0"/>
      </w:rPr>
    </w:lvl>
    <w:lvl w:ilvl="2">
      <w:start w:val="1"/>
      <w:numFmt w:val="decimal"/>
      <w:pStyle w:val="PFNumLevel3"/>
      <w:lvlText w:val="%1.%2.%3"/>
      <w:lvlJc w:val="left"/>
      <w:pPr>
        <w:tabs>
          <w:tab w:val="num" w:pos="1848"/>
        </w:tabs>
        <w:ind w:left="1848" w:hanging="924"/>
      </w:pPr>
      <w:rPr>
        <w:rFonts w:hint="default"/>
        <w:b w:val="0"/>
        <w:i w:val="0"/>
        <w:sz w:val="21"/>
        <w:szCs w:val="21"/>
      </w:rPr>
    </w:lvl>
    <w:lvl w:ilvl="3">
      <w:start w:val="1"/>
      <w:numFmt w:val="lowerLetter"/>
      <w:pStyle w:val="MELegal4"/>
      <w:lvlText w:val="%4."/>
      <w:lvlJc w:val="left"/>
      <w:pPr>
        <w:tabs>
          <w:tab w:val="num" w:pos="2208"/>
        </w:tabs>
        <w:ind w:left="2208" w:hanging="360"/>
      </w:pPr>
      <w:rPr>
        <w:rFonts w:ascii="Arial" w:hAnsi="Arial" w:hint="default"/>
        <w:b w:val="0"/>
        <w:i w:val="0"/>
        <w:sz w:val="22"/>
        <w:szCs w:val="22"/>
      </w:rPr>
    </w:lvl>
    <w:lvl w:ilvl="4">
      <w:start w:val="1"/>
      <w:numFmt w:val="decimal"/>
      <w:pStyle w:val="PFNumLevel5"/>
      <w:lvlText w:val="(%5)"/>
      <w:lvlJc w:val="left"/>
      <w:pPr>
        <w:tabs>
          <w:tab w:val="num" w:pos="1848"/>
        </w:tabs>
        <w:ind w:left="1848" w:hanging="92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13">
    <w:nsid w:val="312F0C6F"/>
    <w:multiLevelType w:val="hybridMultilevel"/>
    <w:tmpl w:val="68144570"/>
    <w:lvl w:ilvl="0" w:tplc="12ACAF20">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3495727F"/>
    <w:multiLevelType w:val="multilevel"/>
    <w:tmpl w:val="1BCE0B82"/>
    <w:lvl w:ilvl="0">
      <w:start w:val="1"/>
      <w:numFmt w:val="decimal"/>
      <w:pStyle w:val="Level1"/>
      <w:lvlText w:val="%1."/>
      <w:lvlJc w:val="left"/>
      <w:pPr>
        <w:tabs>
          <w:tab w:val="num" w:pos="720"/>
        </w:tabs>
        <w:ind w:left="720" w:hanging="720"/>
      </w:pPr>
      <w:rPr>
        <w:rFonts w:ascii="Palatino" w:hAnsi="Palatino" w:cs="Times New Roman" w:hint="default"/>
        <w:b w:val="0"/>
        <w:i w:val="0"/>
        <w:caps w:val="0"/>
        <w:strike w:val="0"/>
        <w:dstrike w:val="0"/>
        <w:outline w:val="0"/>
        <w:shadow w:val="0"/>
        <w:emboss w:val="0"/>
        <w:imprint w:val="0"/>
        <w:vanish w:val="0"/>
        <w:sz w:val="22"/>
        <w:u w:val="none"/>
        <w:effect w:val="none"/>
        <w:vertAlign w:val="baseline"/>
      </w:rPr>
    </w:lvl>
    <w:lvl w:ilvl="1">
      <w:start w:val="1"/>
      <w:numFmt w:val="decimal"/>
      <w:lvlText w:val="%1.%2"/>
      <w:lvlJc w:val="left"/>
      <w:pPr>
        <w:tabs>
          <w:tab w:val="num" w:pos="720"/>
        </w:tabs>
        <w:ind w:left="720" w:hanging="700"/>
      </w:pPr>
      <w:rPr>
        <w:rFonts w:ascii="Palatino" w:hAnsi="Palatino" w:cs="Times New Roman" w:hint="default"/>
        <w:b w:val="0"/>
        <w:i w:val="0"/>
        <w:caps w:val="0"/>
        <w:strike w:val="0"/>
        <w:dstrike w:val="0"/>
        <w:outline w:val="0"/>
        <w:shadow w:val="0"/>
        <w:emboss w:val="0"/>
        <w:imprint w:val="0"/>
        <w:vanish w:val="0"/>
        <w:sz w:val="22"/>
        <w:u w:val="none"/>
        <w:effect w:val="none"/>
        <w:vertAlign w:val="baseline"/>
      </w:rPr>
    </w:lvl>
    <w:lvl w:ilvl="2">
      <w:start w:val="1"/>
      <w:numFmt w:val="lowerLetter"/>
      <w:pStyle w:val="Levela"/>
      <w:lvlText w:val="(%3)"/>
      <w:lvlJc w:val="left"/>
      <w:pPr>
        <w:tabs>
          <w:tab w:val="num" w:pos="1440"/>
        </w:tabs>
        <w:ind w:left="1440" w:hanging="720"/>
      </w:pPr>
      <w:rPr>
        <w:rFonts w:ascii="Palatino" w:hAnsi="Palatino" w:cs="Times New Roman" w:hint="default"/>
        <w:b w:val="0"/>
        <w:i w:val="0"/>
        <w:caps w:val="0"/>
        <w:strike w:val="0"/>
        <w:dstrike w:val="0"/>
        <w:outline w:val="0"/>
        <w:shadow w:val="0"/>
        <w:emboss w:val="0"/>
        <w:imprint w:val="0"/>
        <w:vanish w:val="0"/>
        <w:sz w:val="20"/>
        <w:u w:val="none"/>
        <w:effect w:val="none"/>
        <w:vertAlign w:val="baseline"/>
      </w:rPr>
    </w:lvl>
    <w:lvl w:ilvl="3">
      <w:start w:val="1"/>
      <w:numFmt w:val="lowerRoman"/>
      <w:pStyle w:val="Leveli"/>
      <w:lvlText w:val="(%4)"/>
      <w:lvlJc w:val="left"/>
      <w:pPr>
        <w:tabs>
          <w:tab w:val="num" w:pos="2160"/>
        </w:tabs>
        <w:ind w:left="2160" w:hanging="720"/>
      </w:pPr>
      <w:rPr>
        <w:rFonts w:ascii="Palatino" w:hAnsi="Palatino" w:cs="Times New Roman" w:hint="default"/>
        <w:b w:val="0"/>
        <w:i w:val="0"/>
        <w:caps w:val="0"/>
        <w:strike w:val="0"/>
        <w:dstrike w:val="0"/>
        <w:outline w:val="0"/>
        <w:shadow w:val="0"/>
        <w:emboss w:val="0"/>
        <w:imprint w:val="0"/>
        <w:vanish w:val="0"/>
        <w:sz w:val="20"/>
        <w:u w:val="none"/>
        <w:effect w:val="none"/>
        <w:vertAlign w:val="baseline"/>
      </w:rPr>
    </w:lvl>
    <w:lvl w:ilvl="4">
      <w:start w:val="1"/>
      <w:numFmt w:val="upperLetter"/>
      <w:pStyle w:val="LevelA0"/>
      <w:lvlText w:val="(%5)"/>
      <w:lvlJc w:val="left"/>
      <w:pPr>
        <w:tabs>
          <w:tab w:val="num" w:pos="2880"/>
        </w:tabs>
        <w:ind w:left="2880" w:hanging="720"/>
      </w:pPr>
      <w:rPr>
        <w:rFonts w:ascii="Palatino" w:hAnsi="Palatino" w:cs="Times New Roman" w:hint="default"/>
        <w:b w:val="0"/>
        <w:i w:val="0"/>
        <w:caps w:val="0"/>
        <w:strike w:val="0"/>
        <w:dstrike w:val="0"/>
        <w:outline w:val="0"/>
        <w:shadow w:val="0"/>
        <w:emboss w:val="0"/>
        <w:imprint w:val="0"/>
        <w:vanish w:val="0"/>
        <w:color w:val="auto"/>
        <w:sz w:val="20"/>
        <w:u w:val="none"/>
        <w:effect w:val="none"/>
        <w:vertAlign w:val="baseline"/>
      </w:rPr>
    </w:lvl>
    <w:lvl w:ilvl="5">
      <w:start w:val="1"/>
      <w:numFmt w:val="upperRoman"/>
      <w:pStyle w:val="LevelI0"/>
      <w:lvlText w:val="(%6)"/>
      <w:lvlJc w:val="left"/>
      <w:pPr>
        <w:tabs>
          <w:tab w:val="num" w:pos="3600"/>
        </w:tabs>
        <w:ind w:left="3600" w:hanging="720"/>
      </w:pPr>
      <w:rPr>
        <w:rFonts w:ascii="Palatino" w:hAnsi="Palatino" w:cs="Times New Roman" w:hint="default"/>
        <w:b w:val="0"/>
        <w:i w:val="0"/>
        <w:caps w:val="0"/>
        <w:strike w:val="0"/>
        <w:dstrike w:val="0"/>
        <w:outline w:val="0"/>
        <w:shadow w:val="0"/>
        <w:emboss w:val="0"/>
        <w:imprint w:val="0"/>
        <w:vanish w:val="0"/>
        <w:sz w:val="24"/>
        <w:u w:val="none"/>
        <w:effect w:val="none"/>
        <w:vertAlign w:val="baseline"/>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5">
    <w:nsid w:val="371E2965"/>
    <w:multiLevelType w:val="multilevel"/>
    <w:tmpl w:val="6D165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60"/>
        </w:tabs>
        <w:ind w:left="1060" w:hanging="340"/>
      </w:pPr>
      <w:rPr>
        <w:rFonts w:ascii="Arial" w:hAnsi="Aria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02268C"/>
    <w:multiLevelType w:val="hybridMultilevel"/>
    <w:tmpl w:val="CBD2CC54"/>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8">
    <w:nsid w:val="3A2443E6"/>
    <w:multiLevelType w:val="hybridMultilevel"/>
    <w:tmpl w:val="21A4F230"/>
    <w:lvl w:ilvl="0" w:tplc="4634C986">
      <w:start w:val="1"/>
      <w:numFmt w:val="bullet"/>
      <w:lvlText w:val=""/>
      <w:lvlJc w:val="left"/>
      <w:pPr>
        <w:tabs>
          <w:tab w:val="num" w:pos="720"/>
        </w:tabs>
        <w:ind w:left="720" w:hanging="72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1E240DE"/>
    <w:multiLevelType w:val="multilevel"/>
    <w:tmpl w:val="624A058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46BF4113"/>
    <w:multiLevelType w:val="multilevel"/>
    <w:tmpl w:val="624A058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531C30FF"/>
    <w:multiLevelType w:val="hybridMultilevel"/>
    <w:tmpl w:val="CE40E7E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6BE0DFA"/>
    <w:multiLevelType w:val="hybridMultilevel"/>
    <w:tmpl w:val="C0027E32"/>
    <w:lvl w:ilvl="0" w:tplc="04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A9B3FAE"/>
    <w:multiLevelType w:val="hybridMultilevel"/>
    <w:tmpl w:val="7C52B2F8"/>
    <w:lvl w:ilvl="0" w:tplc="5F025954">
      <w:start w:val="6"/>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5BEA742F"/>
    <w:multiLevelType w:val="multilevel"/>
    <w:tmpl w:val="6D165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60"/>
        </w:tabs>
        <w:ind w:left="1060" w:hanging="340"/>
      </w:pPr>
      <w:rPr>
        <w:rFonts w:ascii="Arial" w:hAnsi="Aria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5E467958"/>
    <w:multiLevelType w:val="multilevel"/>
    <w:tmpl w:val="624A058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64E86CC9"/>
    <w:multiLevelType w:val="multilevel"/>
    <w:tmpl w:val="9732F2FC"/>
    <w:lvl w:ilvl="0">
      <w:start w:val="13"/>
      <w:numFmt w:val="decimal"/>
      <w:lvlText w:val="%1."/>
      <w:lvlJc w:val="left"/>
      <w:pPr>
        <w:tabs>
          <w:tab w:val="num" w:pos="360"/>
        </w:tabs>
        <w:ind w:left="360" w:hanging="360"/>
      </w:pPr>
      <w:rPr>
        <w:rFonts w:hint="default"/>
      </w:rPr>
    </w:lvl>
    <w:lvl w:ilvl="1">
      <w:start w:val="1"/>
      <w:numFmt w:val="lowerLetter"/>
      <w:pStyle w:val="Bullet"/>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69A53C83"/>
    <w:multiLevelType w:val="multilevel"/>
    <w:tmpl w:val="5E881F6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nsid w:val="6CAD7D0D"/>
    <w:multiLevelType w:val="hybridMultilevel"/>
    <w:tmpl w:val="4EA480D0"/>
    <w:lvl w:ilvl="0" w:tplc="12ACAF20">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CBF2BEC"/>
    <w:multiLevelType w:val="multilevel"/>
    <w:tmpl w:val="624A058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6E876ECC"/>
    <w:multiLevelType w:val="hybridMultilevel"/>
    <w:tmpl w:val="9BA201C6"/>
    <w:lvl w:ilvl="0" w:tplc="C93C7FD6">
      <w:start w:val="1"/>
      <w:numFmt w:val="lowerLetter"/>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70DF5EA3"/>
    <w:multiLevelType w:val="multilevel"/>
    <w:tmpl w:val="C39847DA"/>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75D8331E"/>
    <w:multiLevelType w:val="multilevel"/>
    <w:tmpl w:val="C39847DA"/>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77165FC2"/>
    <w:multiLevelType w:val="hybridMultilevel"/>
    <w:tmpl w:val="D4566B94"/>
    <w:lvl w:ilvl="0" w:tplc="12ACAF20">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85D4F82"/>
    <w:multiLevelType w:val="multilevel"/>
    <w:tmpl w:val="0E7E5B56"/>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7F634E95"/>
    <w:multiLevelType w:val="hybridMultilevel"/>
    <w:tmpl w:val="D48472F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6"/>
  </w:num>
  <w:num w:numId="3">
    <w:abstractNumId w:val="12"/>
  </w:num>
  <w:num w:numId="4">
    <w:abstractNumId w:val="11"/>
  </w:num>
  <w:num w:numId="5">
    <w:abstractNumId w:val="7"/>
  </w:num>
  <w:num w:numId="6">
    <w:abstractNumId w:val="28"/>
  </w:num>
  <w:num w:numId="7">
    <w:abstractNumId w:val="13"/>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9"/>
  </w:num>
  <w:num w:numId="11">
    <w:abstractNumId w:val="26"/>
  </w:num>
  <w:num w:numId="12">
    <w:abstractNumId w:val="19"/>
  </w:num>
  <w:num w:numId="13">
    <w:abstractNumId w:val="8"/>
  </w:num>
  <w:num w:numId="14">
    <w:abstractNumId w:val="17"/>
  </w:num>
  <w:num w:numId="15">
    <w:abstractNumId w:val="10"/>
  </w:num>
  <w:num w:numId="16">
    <w:abstractNumId w:val="9"/>
  </w:num>
  <w:num w:numId="17">
    <w:abstractNumId w:val="3"/>
  </w:num>
  <w:num w:numId="18">
    <w:abstractNumId w:val="30"/>
  </w:num>
  <w:num w:numId="19">
    <w:abstractNumId w:val="31"/>
  </w:num>
  <w:num w:numId="20">
    <w:abstractNumId w:val="34"/>
  </w:num>
  <w:num w:numId="21">
    <w:abstractNumId w:val="27"/>
  </w:num>
  <w:num w:numId="22">
    <w:abstractNumId w:val="5"/>
  </w:num>
  <w:num w:numId="23">
    <w:abstractNumId w:val="32"/>
  </w:num>
  <w:num w:numId="24">
    <w:abstractNumId w:val="20"/>
  </w:num>
  <w:num w:numId="25">
    <w:abstractNumId w:val="4"/>
  </w:num>
  <w:num w:numId="26">
    <w:abstractNumId w:val="33"/>
  </w:num>
  <w:num w:numId="27">
    <w:abstractNumId w:val="22"/>
  </w:num>
  <w:num w:numId="28">
    <w:abstractNumId w:val="24"/>
  </w:num>
  <w:num w:numId="29">
    <w:abstractNumId w:val="15"/>
  </w:num>
  <w:num w:numId="30">
    <w:abstractNumId w:val="25"/>
  </w:num>
  <w:num w:numId="31">
    <w:abstractNumId w:val="1"/>
  </w:num>
  <w:num w:numId="32">
    <w:abstractNumId w:val="2"/>
  </w:num>
  <w:num w:numId="33">
    <w:abstractNumId w:val="23"/>
  </w:num>
  <w:num w:numId="34">
    <w:abstractNumId w:val="21"/>
  </w:num>
  <w:num w:numId="35">
    <w:abstractNumId w:val="35"/>
  </w:num>
  <w:num w:numId="36">
    <w:abstractNumId w:val="16"/>
  </w:num>
  <w:num w:numId="37">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951623"/>
    <w:rsid w:val="00000182"/>
    <w:rsid w:val="000032DB"/>
    <w:rsid w:val="00005F8C"/>
    <w:rsid w:val="000105F5"/>
    <w:rsid w:val="000109F9"/>
    <w:rsid w:val="0001400E"/>
    <w:rsid w:val="000143A2"/>
    <w:rsid w:val="00015219"/>
    <w:rsid w:val="00015CF1"/>
    <w:rsid w:val="000216D2"/>
    <w:rsid w:val="00037FE7"/>
    <w:rsid w:val="0004020F"/>
    <w:rsid w:val="00040F8E"/>
    <w:rsid w:val="00041502"/>
    <w:rsid w:val="00042536"/>
    <w:rsid w:val="00042FEE"/>
    <w:rsid w:val="000468F5"/>
    <w:rsid w:val="0005063D"/>
    <w:rsid w:val="00064219"/>
    <w:rsid w:val="00071E56"/>
    <w:rsid w:val="00076B4F"/>
    <w:rsid w:val="0008210A"/>
    <w:rsid w:val="00083B72"/>
    <w:rsid w:val="00092BC7"/>
    <w:rsid w:val="000A1406"/>
    <w:rsid w:val="000A6A08"/>
    <w:rsid w:val="000B020A"/>
    <w:rsid w:val="000B0B92"/>
    <w:rsid w:val="000B32EE"/>
    <w:rsid w:val="000B3934"/>
    <w:rsid w:val="000B4A13"/>
    <w:rsid w:val="000B4E46"/>
    <w:rsid w:val="000B5081"/>
    <w:rsid w:val="000C2CB4"/>
    <w:rsid w:val="000C57B8"/>
    <w:rsid w:val="000C5E91"/>
    <w:rsid w:val="000D56F4"/>
    <w:rsid w:val="000D5FF0"/>
    <w:rsid w:val="000E09E0"/>
    <w:rsid w:val="000E4CAD"/>
    <w:rsid w:val="000F142A"/>
    <w:rsid w:val="000F6E3E"/>
    <w:rsid w:val="00102D33"/>
    <w:rsid w:val="00105152"/>
    <w:rsid w:val="0011203F"/>
    <w:rsid w:val="00112617"/>
    <w:rsid w:val="00115EC6"/>
    <w:rsid w:val="00121929"/>
    <w:rsid w:val="001237F6"/>
    <w:rsid w:val="001256BA"/>
    <w:rsid w:val="0013682D"/>
    <w:rsid w:val="00142093"/>
    <w:rsid w:val="00143005"/>
    <w:rsid w:val="00147542"/>
    <w:rsid w:val="00147867"/>
    <w:rsid w:val="00154846"/>
    <w:rsid w:val="001574DE"/>
    <w:rsid w:val="00157A32"/>
    <w:rsid w:val="00160BD3"/>
    <w:rsid w:val="0016211B"/>
    <w:rsid w:val="001625DA"/>
    <w:rsid w:val="00162FC1"/>
    <w:rsid w:val="001634BC"/>
    <w:rsid w:val="0016583E"/>
    <w:rsid w:val="001724A2"/>
    <w:rsid w:val="001803DE"/>
    <w:rsid w:val="0018224A"/>
    <w:rsid w:val="00186827"/>
    <w:rsid w:val="00193DF7"/>
    <w:rsid w:val="001965D9"/>
    <w:rsid w:val="001966B2"/>
    <w:rsid w:val="001A2693"/>
    <w:rsid w:val="001A6AB0"/>
    <w:rsid w:val="001A6EA3"/>
    <w:rsid w:val="001B401D"/>
    <w:rsid w:val="001B40A9"/>
    <w:rsid w:val="001B7FFC"/>
    <w:rsid w:val="001C499B"/>
    <w:rsid w:val="001C4EBB"/>
    <w:rsid w:val="001C5048"/>
    <w:rsid w:val="001C74A3"/>
    <w:rsid w:val="001D065C"/>
    <w:rsid w:val="001D2413"/>
    <w:rsid w:val="001D5F9A"/>
    <w:rsid w:val="001E2242"/>
    <w:rsid w:val="001E7BF7"/>
    <w:rsid w:val="001F19F1"/>
    <w:rsid w:val="001F2B8F"/>
    <w:rsid w:val="001F6536"/>
    <w:rsid w:val="00201BBB"/>
    <w:rsid w:val="00201E9F"/>
    <w:rsid w:val="00202E5C"/>
    <w:rsid w:val="00202EEE"/>
    <w:rsid w:val="002030F3"/>
    <w:rsid w:val="002049AF"/>
    <w:rsid w:val="00204AF4"/>
    <w:rsid w:val="00210360"/>
    <w:rsid w:val="00210C6E"/>
    <w:rsid w:val="00211415"/>
    <w:rsid w:val="00213478"/>
    <w:rsid w:val="00220E8E"/>
    <w:rsid w:val="002213E6"/>
    <w:rsid w:val="002246D9"/>
    <w:rsid w:val="00224A0A"/>
    <w:rsid w:val="00230970"/>
    <w:rsid w:val="00235755"/>
    <w:rsid w:val="00235C53"/>
    <w:rsid w:val="00236237"/>
    <w:rsid w:val="0023711D"/>
    <w:rsid w:val="002472D2"/>
    <w:rsid w:val="00254593"/>
    <w:rsid w:val="002619DB"/>
    <w:rsid w:val="00270691"/>
    <w:rsid w:val="002811B0"/>
    <w:rsid w:val="002815E9"/>
    <w:rsid w:val="0028549A"/>
    <w:rsid w:val="0028634C"/>
    <w:rsid w:val="00286571"/>
    <w:rsid w:val="00290E45"/>
    <w:rsid w:val="0029131A"/>
    <w:rsid w:val="002941B6"/>
    <w:rsid w:val="002A22FF"/>
    <w:rsid w:val="002A2AD6"/>
    <w:rsid w:val="002A326D"/>
    <w:rsid w:val="002A4813"/>
    <w:rsid w:val="002B05B7"/>
    <w:rsid w:val="002B2930"/>
    <w:rsid w:val="002C013E"/>
    <w:rsid w:val="002C4FEF"/>
    <w:rsid w:val="002C57FE"/>
    <w:rsid w:val="002D1F26"/>
    <w:rsid w:val="002E602B"/>
    <w:rsid w:val="002E685B"/>
    <w:rsid w:val="002F4D42"/>
    <w:rsid w:val="002F767E"/>
    <w:rsid w:val="0031112D"/>
    <w:rsid w:val="00313B6A"/>
    <w:rsid w:val="00333F1D"/>
    <w:rsid w:val="003340AA"/>
    <w:rsid w:val="003345CE"/>
    <w:rsid w:val="0034280F"/>
    <w:rsid w:val="003442C6"/>
    <w:rsid w:val="00345877"/>
    <w:rsid w:val="003462F6"/>
    <w:rsid w:val="0035067E"/>
    <w:rsid w:val="0035187A"/>
    <w:rsid w:val="00353293"/>
    <w:rsid w:val="0035454C"/>
    <w:rsid w:val="0036128C"/>
    <w:rsid w:val="00362622"/>
    <w:rsid w:val="003702CB"/>
    <w:rsid w:val="00371274"/>
    <w:rsid w:val="00372C0A"/>
    <w:rsid w:val="00373B0D"/>
    <w:rsid w:val="0039022C"/>
    <w:rsid w:val="00397D20"/>
    <w:rsid w:val="003A4905"/>
    <w:rsid w:val="003A79F4"/>
    <w:rsid w:val="003B2497"/>
    <w:rsid w:val="003B37A6"/>
    <w:rsid w:val="003B45C7"/>
    <w:rsid w:val="003B50DF"/>
    <w:rsid w:val="003B76C9"/>
    <w:rsid w:val="003C22CD"/>
    <w:rsid w:val="003C40A5"/>
    <w:rsid w:val="003C5877"/>
    <w:rsid w:val="003C5EF2"/>
    <w:rsid w:val="003C6C90"/>
    <w:rsid w:val="003D0EDC"/>
    <w:rsid w:val="003D1379"/>
    <w:rsid w:val="003D521A"/>
    <w:rsid w:val="003E0A74"/>
    <w:rsid w:val="003E308B"/>
    <w:rsid w:val="003E4058"/>
    <w:rsid w:val="003E4DEA"/>
    <w:rsid w:val="003E4F17"/>
    <w:rsid w:val="003F1232"/>
    <w:rsid w:val="003F196F"/>
    <w:rsid w:val="003F528E"/>
    <w:rsid w:val="00400E19"/>
    <w:rsid w:val="00415483"/>
    <w:rsid w:val="00423B95"/>
    <w:rsid w:val="00423FE3"/>
    <w:rsid w:val="00424B07"/>
    <w:rsid w:val="00430632"/>
    <w:rsid w:val="00432727"/>
    <w:rsid w:val="004351AC"/>
    <w:rsid w:val="00436C28"/>
    <w:rsid w:val="00440381"/>
    <w:rsid w:val="00441A04"/>
    <w:rsid w:val="00442497"/>
    <w:rsid w:val="004438AB"/>
    <w:rsid w:val="00444FAF"/>
    <w:rsid w:val="00446A5E"/>
    <w:rsid w:val="004603E1"/>
    <w:rsid w:val="00461022"/>
    <w:rsid w:val="0046121D"/>
    <w:rsid w:val="0046308D"/>
    <w:rsid w:val="00463DF3"/>
    <w:rsid w:val="0046704A"/>
    <w:rsid w:val="004675CD"/>
    <w:rsid w:val="00471957"/>
    <w:rsid w:val="00480A1F"/>
    <w:rsid w:val="00482DD7"/>
    <w:rsid w:val="0048309B"/>
    <w:rsid w:val="00491560"/>
    <w:rsid w:val="00492354"/>
    <w:rsid w:val="00492E49"/>
    <w:rsid w:val="00494333"/>
    <w:rsid w:val="00494EFC"/>
    <w:rsid w:val="0049580E"/>
    <w:rsid w:val="004A1AEF"/>
    <w:rsid w:val="004A1C5E"/>
    <w:rsid w:val="004A552B"/>
    <w:rsid w:val="004A5BE5"/>
    <w:rsid w:val="004A5D83"/>
    <w:rsid w:val="004A6475"/>
    <w:rsid w:val="004B167D"/>
    <w:rsid w:val="004B4F11"/>
    <w:rsid w:val="004B7815"/>
    <w:rsid w:val="004C211F"/>
    <w:rsid w:val="004C222F"/>
    <w:rsid w:val="004C36B3"/>
    <w:rsid w:val="004C50BD"/>
    <w:rsid w:val="004D478D"/>
    <w:rsid w:val="004E0122"/>
    <w:rsid w:val="004E0B23"/>
    <w:rsid w:val="004E1D93"/>
    <w:rsid w:val="004E51AE"/>
    <w:rsid w:val="004E5703"/>
    <w:rsid w:val="004E758D"/>
    <w:rsid w:val="004F0E87"/>
    <w:rsid w:val="004F4E42"/>
    <w:rsid w:val="004F5DBE"/>
    <w:rsid w:val="004F7F0E"/>
    <w:rsid w:val="00502283"/>
    <w:rsid w:val="0050264E"/>
    <w:rsid w:val="005044F7"/>
    <w:rsid w:val="00505606"/>
    <w:rsid w:val="005064CB"/>
    <w:rsid w:val="00510680"/>
    <w:rsid w:val="00510F39"/>
    <w:rsid w:val="005115B6"/>
    <w:rsid w:val="00517A02"/>
    <w:rsid w:val="00522FB0"/>
    <w:rsid w:val="00523388"/>
    <w:rsid w:val="00525209"/>
    <w:rsid w:val="00535132"/>
    <w:rsid w:val="00543380"/>
    <w:rsid w:val="00552A18"/>
    <w:rsid w:val="00553723"/>
    <w:rsid w:val="00553EAF"/>
    <w:rsid w:val="00554507"/>
    <w:rsid w:val="005555E3"/>
    <w:rsid w:val="00561039"/>
    <w:rsid w:val="005633C8"/>
    <w:rsid w:val="005676B1"/>
    <w:rsid w:val="00573A0C"/>
    <w:rsid w:val="00577536"/>
    <w:rsid w:val="00580A1B"/>
    <w:rsid w:val="00595B50"/>
    <w:rsid w:val="00597BA6"/>
    <w:rsid w:val="005A084D"/>
    <w:rsid w:val="005A0AA8"/>
    <w:rsid w:val="005A20AB"/>
    <w:rsid w:val="005A406C"/>
    <w:rsid w:val="005A5430"/>
    <w:rsid w:val="005B084D"/>
    <w:rsid w:val="005B13A7"/>
    <w:rsid w:val="005B619F"/>
    <w:rsid w:val="005B66EA"/>
    <w:rsid w:val="005B6C29"/>
    <w:rsid w:val="005C1973"/>
    <w:rsid w:val="005C43C9"/>
    <w:rsid w:val="005D7285"/>
    <w:rsid w:val="005E1ABB"/>
    <w:rsid w:val="005E1FC7"/>
    <w:rsid w:val="005F1774"/>
    <w:rsid w:val="005F5171"/>
    <w:rsid w:val="005F5CEB"/>
    <w:rsid w:val="005F5E20"/>
    <w:rsid w:val="005F64FB"/>
    <w:rsid w:val="005F6B2B"/>
    <w:rsid w:val="00601051"/>
    <w:rsid w:val="00606575"/>
    <w:rsid w:val="00610195"/>
    <w:rsid w:val="00612570"/>
    <w:rsid w:val="00612DC9"/>
    <w:rsid w:val="00616CD0"/>
    <w:rsid w:val="00622BEC"/>
    <w:rsid w:val="00625053"/>
    <w:rsid w:val="00625EE2"/>
    <w:rsid w:val="0062669A"/>
    <w:rsid w:val="0063053E"/>
    <w:rsid w:val="00630DD1"/>
    <w:rsid w:val="00634535"/>
    <w:rsid w:val="00637A88"/>
    <w:rsid w:val="00637CBD"/>
    <w:rsid w:val="006413CE"/>
    <w:rsid w:val="006451E2"/>
    <w:rsid w:val="006461AC"/>
    <w:rsid w:val="00653294"/>
    <w:rsid w:val="00656144"/>
    <w:rsid w:val="0065692E"/>
    <w:rsid w:val="0066003F"/>
    <w:rsid w:val="00660A7A"/>
    <w:rsid w:val="00660EBB"/>
    <w:rsid w:val="006631A1"/>
    <w:rsid w:val="00664144"/>
    <w:rsid w:val="00665957"/>
    <w:rsid w:val="00670C5A"/>
    <w:rsid w:val="006747B7"/>
    <w:rsid w:val="00674EB7"/>
    <w:rsid w:val="00676211"/>
    <w:rsid w:val="00676A4C"/>
    <w:rsid w:val="006803FB"/>
    <w:rsid w:val="006808B8"/>
    <w:rsid w:val="00682485"/>
    <w:rsid w:val="006859B3"/>
    <w:rsid w:val="00686A5E"/>
    <w:rsid w:val="00691F84"/>
    <w:rsid w:val="0069558A"/>
    <w:rsid w:val="006A2B6A"/>
    <w:rsid w:val="006A425E"/>
    <w:rsid w:val="006A60BE"/>
    <w:rsid w:val="006A7538"/>
    <w:rsid w:val="006B2BC1"/>
    <w:rsid w:val="006B4167"/>
    <w:rsid w:val="006B54C1"/>
    <w:rsid w:val="006D2871"/>
    <w:rsid w:val="006D3E15"/>
    <w:rsid w:val="006E2324"/>
    <w:rsid w:val="006E23C2"/>
    <w:rsid w:val="006E6A08"/>
    <w:rsid w:val="006F3218"/>
    <w:rsid w:val="0070126B"/>
    <w:rsid w:val="00704F08"/>
    <w:rsid w:val="007111DA"/>
    <w:rsid w:val="0071225F"/>
    <w:rsid w:val="00712FCA"/>
    <w:rsid w:val="007164D1"/>
    <w:rsid w:val="00725A3E"/>
    <w:rsid w:val="00726A1A"/>
    <w:rsid w:val="00734378"/>
    <w:rsid w:val="007365B2"/>
    <w:rsid w:val="00740FE7"/>
    <w:rsid w:val="0074250B"/>
    <w:rsid w:val="007427DA"/>
    <w:rsid w:val="00747925"/>
    <w:rsid w:val="007627FA"/>
    <w:rsid w:val="00775CB4"/>
    <w:rsid w:val="007800E7"/>
    <w:rsid w:val="00780246"/>
    <w:rsid w:val="00781B2C"/>
    <w:rsid w:val="007874B4"/>
    <w:rsid w:val="007A13F5"/>
    <w:rsid w:val="007A5034"/>
    <w:rsid w:val="007A67AF"/>
    <w:rsid w:val="007B0C73"/>
    <w:rsid w:val="007B5AA9"/>
    <w:rsid w:val="007B74BE"/>
    <w:rsid w:val="007C2A99"/>
    <w:rsid w:val="007C6CA1"/>
    <w:rsid w:val="007D22CA"/>
    <w:rsid w:val="007D46B5"/>
    <w:rsid w:val="007F01AF"/>
    <w:rsid w:val="007F0A79"/>
    <w:rsid w:val="007F2652"/>
    <w:rsid w:val="00803389"/>
    <w:rsid w:val="00803AE1"/>
    <w:rsid w:val="008042C3"/>
    <w:rsid w:val="008109B5"/>
    <w:rsid w:val="0081146A"/>
    <w:rsid w:val="00813595"/>
    <w:rsid w:val="00813DCF"/>
    <w:rsid w:val="0081739E"/>
    <w:rsid w:val="00817A39"/>
    <w:rsid w:val="008215BE"/>
    <w:rsid w:val="00822278"/>
    <w:rsid w:val="00832041"/>
    <w:rsid w:val="00832A3F"/>
    <w:rsid w:val="00832E98"/>
    <w:rsid w:val="008344EE"/>
    <w:rsid w:val="008372BB"/>
    <w:rsid w:val="00841853"/>
    <w:rsid w:val="00842C66"/>
    <w:rsid w:val="008440F9"/>
    <w:rsid w:val="0085106E"/>
    <w:rsid w:val="00860CC2"/>
    <w:rsid w:val="008633F5"/>
    <w:rsid w:val="008640AD"/>
    <w:rsid w:val="0086463C"/>
    <w:rsid w:val="0086596B"/>
    <w:rsid w:val="00875B07"/>
    <w:rsid w:val="00876FC8"/>
    <w:rsid w:val="00882E5F"/>
    <w:rsid w:val="00883B43"/>
    <w:rsid w:val="00884654"/>
    <w:rsid w:val="00884C99"/>
    <w:rsid w:val="00885194"/>
    <w:rsid w:val="008A642A"/>
    <w:rsid w:val="008A647B"/>
    <w:rsid w:val="008A7F90"/>
    <w:rsid w:val="008C21EE"/>
    <w:rsid w:val="008D03CA"/>
    <w:rsid w:val="008D2647"/>
    <w:rsid w:val="008E1760"/>
    <w:rsid w:val="008E1878"/>
    <w:rsid w:val="008E30A3"/>
    <w:rsid w:val="008E5377"/>
    <w:rsid w:val="008E54CA"/>
    <w:rsid w:val="008E5CA4"/>
    <w:rsid w:val="008E77D5"/>
    <w:rsid w:val="008F70FC"/>
    <w:rsid w:val="00906BC2"/>
    <w:rsid w:val="00911D33"/>
    <w:rsid w:val="009130BA"/>
    <w:rsid w:val="00920642"/>
    <w:rsid w:val="00922A56"/>
    <w:rsid w:val="00925E76"/>
    <w:rsid w:val="00930DBF"/>
    <w:rsid w:val="00930F63"/>
    <w:rsid w:val="00933C1C"/>
    <w:rsid w:val="009344B8"/>
    <w:rsid w:val="00934900"/>
    <w:rsid w:val="00936202"/>
    <w:rsid w:val="009405FA"/>
    <w:rsid w:val="009418EB"/>
    <w:rsid w:val="00941C5D"/>
    <w:rsid w:val="00951623"/>
    <w:rsid w:val="009559E7"/>
    <w:rsid w:val="0095649E"/>
    <w:rsid w:val="00960CAD"/>
    <w:rsid w:val="00964A15"/>
    <w:rsid w:val="00966CC8"/>
    <w:rsid w:val="00980AB9"/>
    <w:rsid w:val="00984B6A"/>
    <w:rsid w:val="00991A69"/>
    <w:rsid w:val="00992E94"/>
    <w:rsid w:val="009954EF"/>
    <w:rsid w:val="009954F7"/>
    <w:rsid w:val="00995FF8"/>
    <w:rsid w:val="00997AA6"/>
    <w:rsid w:val="009A42D5"/>
    <w:rsid w:val="009A4465"/>
    <w:rsid w:val="009A4E7E"/>
    <w:rsid w:val="009A5984"/>
    <w:rsid w:val="009A78F4"/>
    <w:rsid w:val="009B2B6F"/>
    <w:rsid w:val="009B42E6"/>
    <w:rsid w:val="009C0466"/>
    <w:rsid w:val="009C1CEE"/>
    <w:rsid w:val="009C3937"/>
    <w:rsid w:val="009C5CD5"/>
    <w:rsid w:val="009D25FF"/>
    <w:rsid w:val="009D2BDD"/>
    <w:rsid w:val="009D7055"/>
    <w:rsid w:val="009E029B"/>
    <w:rsid w:val="009E4CD2"/>
    <w:rsid w:val="009E7113"/>
    <w:rsid w:val="00A01365"/>
    <w:rsid w:val="00A05031"/>
    <w:rsid w:val="00A05BC2"/>
    <w:rsid w:val="00A0638B"/>
    <w:rsid w:val="00A07444"/>
    <w:rsid w:val="00A114C2"/>
    <w:rsid w:val="00A11D7D"/>
    <w:rsid w:val="00A1502D"/>
    <w:rsid w:val="00A15391"/>
    <w:rsid w:val="00A166E8"/>
    <w:rsid w:val="00A215F2"/>
    <w:rsid w:val="00A22474"/>
    <w:rsid w:val="00A303D7"/>
    <w:rsid w:val="00A32A2B"/>
    <w:rsid w:val="00A32E95"/>
    <w:rsid w:val="00A437DA"/>
    <w:rsid w:val="00A43906"/>
    <w:rsid w:val="00A43E87"/>
    <w:rsid w:val="00A44F31"/>
    <w:rsid w:val="00A45729"/>
    <w:rsid w:val="00A61559"/>
    <w:rsid w:val="00A66134"/>
    <w:rsid w:val="00A70B74"/>
    <w:rsid w:val="00A7288B"/>
    <w:rsid w:val="00A74CF1"/>
    <w:rsid w:val="00A7731F"/>
    <w:rsid w:val="00A85B00"/>
    <w:rsid w:val="00A90EC0"/>
    <w:rsid w:val="00A92232"/>
    <w:rsid w:val="00A92725"/>
    <w:rsid w:val="00AA1B66"/>
    <w:rsid w:val="00AA708A"/>
    <w:rsid w:val="00AB2855"/>
    <w:rsid w:val="00AB4A9C"/>
    <w:rsid w:val="00AB68FC"/>
    <w:rsid w:val="00AB6F1E"/>
    <w:rsid w:val="00AC4466"/>
    <w:rsid w:val="00AC65E3"/>
    <w:rsid w:val="00AD080E"/>
    <w:rsid w:val="00AD16F5"/>
    <w:rsid w:val="00AD5B67"/>
    <w:rsid w:val="00AE70CB"/>
    <w:rsid w:val="00AF5037"/>
    <w:rsid w:val="00AF6F2A"/>
    <w:rsid w:val="00B038D7"/>
    <w:rsid w:val="00B03A75"/>
    <w:rsid w:val="00B03E2D"/>
    <w:rsid w:val="00B07ADC"/>
    <w:rsid w:val="00B22525"/>
    <w:rsid w:val="00B25525"/>
    <w:rsid w:val="00B26456"/>
    <w:rsid w:val="00B40F67"/>
    <w:rsid w:val="00B44F74"/>
    <w:rsid w:val="00B5011A"/>
    <w:rsid w:val="00B51696"/>
    <w:rsid w:val="00B51ABC"/>
    <w:rsid w:val="00B56B09"/>
    <w:rsid w:val="00B570CD"/>
    <w:rsid w:val="00B61A03"/>
    <w:rsid w:val="00B66BEB"/>
    <w:rsid w:val="00B7070C"/>
    <w:rsid w:val="00B74EC3"/>
    <w:rsid w:val="00B82C5F"/>
    <w:rsid w:val="00B841A4"/>
    <w:rsid w:val="00B86414"/>
    <w:rsid w:val="00B94366"/>
    <w:rsid w:val="00B94A17"/>
    <w:rsid w:val="00B96293"/>
    <w:rsid w:val="00B97493"/>
    <w:rsid w:val="00BA3A92"/>
    <w:rsid w:val="00BA3B05"/>
    <w:rsid w:val="00BA5ECA"/>
    <w:rsid w:val="00BA6787"/>
    <w:rsid w:val="00BB1993"/>
    <w:rsid w:val="00BB1DB3"/>
    <w:rsid w:val="00BB2D90"/>
    <w:rsid w:val="00BB4A6C"/>
    <w:rsid w:val="00BB5829"/>
    <w:rsid w:val="00BC07F1"/>
    <w:rsid w:val="00BC3EB6"/>
    <w:rsid w:val="00BC53F2"/>
    <w:rsid w:val="00BD0A41"/>
    <w:rsid w:val="00BD11BA"/>
    <w:rsid w:val="00BD168D"/>
    <w:rsid w:val="00BD31CA"/>
    <w:rsid w:val="00BD3518"/>
    <w:rsid w:val="00BD5461"/>
    <w:rsid w:val="00BE375B"/>
    <w:rsid w:val="00BE5C1C"/>
    <w:rsid w:val="00BE65D3"/>
    <w:rsid w:val="00BE669E"/>
    <w:rsid w:val="00BE71F9"/>
    <w:rsid w:val="00BF22D3"/>
    <w:rsid w:val="00BF3A1A"/>
    <w:rsid w:val="00C02CD8"/>
    <w:rsid w:val="00C03E8F"/>
    <w:rsid w:val="00C05C7E"/>
    <w:rsid w:val="00C06DB9"/>
    <w:rsid w:val="00C11272"/>
    <w:rsid w:val="00C137D9"/>
    <w:rsid w:val="00C20329"/>
    <w:rsid w:val="00C205A7"/>
    <w:rsid w:val="00C23DB3"/>
    <w:rsid w:val="00C24613"/>
    <w:rsid w:val="00C24DE9"/>
    <w:rsid w:val="00C26271"/>
    <w:rsid w:val="00C27990"/>
    <w:rsid w:val="00C300E6"/>
    <w:rsid w:val="00C34CBE"/>
    <w:rsid w:val="00C35F3B"/>
    <w:rsid w:val="00C36412"/>
    <w:rsid w:val="00C4107F"/>
    <w:rsid w:val="00C440F9"/>
    <w:rsid w:val="00C4728C"/>
    <w:rsid w:val="00C53743"/>
    <w:rsid w:val="00C57706"/>
    <w:rsid w:val="00C64FD9"/>
    <w:rsid w:val="00C65B14"/>
    <w:rsid w:val="00C67182"/>
    <w:rsid w:val="00C703DB"/>
    <w:rsid w:val="00C7044A"/>
    <w:rsid w:val="00C7358F"/>
    <w:rsid w:val="00C7687F"/>
    <w:rsid w:val="00C81B4A"/>
    <w:rsid w:val="00C94ED3"/>
    <w:rsid w:val="00C95F7C"/>
    <w:rsid w:val="00CA05C9"/>
    <w:rsid w:val="00CA3EE7"/>
    <w:rsid w:val="00CA5942"/>
    <w:rsid w:val="00CB061A"/>
    <w:rsid w:val="00CB1E33"/>
    <w:rsid w:val="00CB236E"/>
    <w:rsid w:val="00CB6E3E"/>
    <w:rsid w:val="00CC3191"/>
    <w:rsid w:val="00CD2267"/>
    <w:rsid w:val="00CD42F9"/>
    <w:rsid w:val="00CE53D6"/>
    <w:rsid w:val="00CE688F"/>
    <w:rsid w:val="00CE79A7"/>
    <w:rsid w:val="00CF0A4D"/>
    <w:rsid w:val="00CF399E"/>
    <w:rsid w:val="00CF3BE9"/>
    <w:rsid w:val="00CF4609"/>
    <w:rsid w:val="00CF60CB"/>
    <w:rsid w:val="00CF7B98"/>
    <w:rsid w:val="00D036DD"/>
    <w:rsid w:val="00D05EA7"/>
    <w:rsid w:val="00D063B8"/>
    <w:rsid w:val="00D06A56"/>
    <w:rsid w:val="00D140D5"/>
    <w:rsid w:val="00D15958"/>
    <w:rsid w:val="00D16EB3"/>
    <w:rsid w:val="00D22DFC"/>
    <w:rsid w:val="00D23B43"/>
    <w:rsid w:val="00D24561"/>
    <w:rsid w:val="00D24D6A"/>
    <w:rsid w:val="00D26715"/>
    <w:rsid w:val="00D3025F"/>
    <w:rsid w:val="00D35021"/>
    <w:rsid w:val="00D35436"/>
    <w:rsid w:val="00D371CC"/>
    <w:rsid w:val="00D37CF1"/>
    <w:rsid w:val="00D428FD"/>
    <w:rsid w:val="00D43500"/>
    <w:rsid w:val="00D43BBC"/>
    <w:rsid w:val="00D44274"/>
    <w:rsid w:val="00D4731E"/>
    <w:rsid w:val="00D50D20"/>
    <w:rsid w:val="00D56A6A"/>
    <w:rsid w:val="00D56E85"/>
    <w:rsid w:val="00D607C0"/>
    <w:rsid w:val="00D608CB"/>
    <w:rsid w:val="00D60F60"/>
    <w:rsid w:val="00D6178C"/>
    <w:rsid w:val="00D61E06"/>
    <w:rsid w:val="00D6512C"/>
    <w:rsid w:val="00D65469"/>
    <w:rsid w:val="00D659E5"/>
    <w:rsid w:val="00D6652A"/>
    <w:rsid w:val="00D71616"/>
    <w:rsid w:val="00D74998"/>
    <w:rsid w:val="00D771A3"/>
    <w:rsid w:val="00D81021"/>
    <w:rsid w:val="00D85B21"/>
    <w:rsid w:val="00D86C5D"/>
    <w:rsid w:val="00D9130D"/>
    <w:rsid w:val="00D9250B"/>
    <w:rsid w:val="00D92623"/>
    <w:rsid w:val="00D95FC3"/>
    <w:rsid w:val="00D979D9"/>
    <w:rsid w:val="00DA0A30"/>
    <w:rsid w:val="00DA1228"/>
    <w:rsid w:val="00DA2225"/>
    <w:rsid w:val="00DA700F"/>
    <w:rsid w:val="00DB1CAE"/>
    <w:rsid w:val="00DB366D"/>
    <w:rsid w:val="00DB64C1"/>
    <w:rsid w:val="00DC198B"/>
    <w:rsid w:val="00DD4958"/>
    <w:rsid w:val="00DD5661"/>
    <w:rsid w:val="00DE73B7"/>
    <w:rsid w:val="00DF0F29"/>
    <w:rsid w:val="00DF27D9"/>
    <w:rsid w:val="00DF3BD6"/>
    <w:rsid w:val="00E00236"/>
    <w:rsid w:val="00E051F9"/>
    <w:rsid w:val="00E07F80"/>
    <w:rsid w:val="00E10E47"/>
    <w:rsid w:val="00E13021"/>
    <w:rsid w:val="00E14BF7"/>
    <w:rsid w:val="00E1638D"/>
    <w:rsid w:val="00E238F4"/>
    <w:rsid w:val="00E2477A"/>
    <w:rsid w:val="00E27B70"/>
    <w:rsid w:val="00E3169D"/>
    <w:rsid w:val="00E32881"/>
    <w:rsid w:val="00E33548"/>
    <w:rsid w:val="00E351D8"/>
    <w:rsid w:val="00E3714F"/>
    <w:rsid w:val="00E4225E"/>
    <w:rsid w:val="00E46474"/>
    <w:rsid w:val="00E47E8E"/>
    <w:rsid w:val="00E51445"/>
    <w:rsid w:val="00E5445F"/>
    <w:rsid w:val="00E57182"/>
    <w:rsid w:val="00E57A69"/>
    <w:rsid w:val="00E57D1A"/>
    <w:rsid w:val="00E6129C"/>
    <w:rsid w:val="00E6360B"/>
    <w:rsid w:val="00E6512C"/>
    <w:rsid w:val="00E678E9"/>
    <w:rsid w:val="00E67E1C"/>
    <w:rsid w:val="00E71BF7"/>
    <w:rsid w:val="00E74202"/>
    <w:rsid w:val="00E7667F"/>
    <w:rsid w:val="00E77404"/>
    <w:rsid w:val="00E77871"/>
    <w:rsid w:val="00E8056A"/>
    <w:rsid w:val="00E832BD"/>
    <w:rsid w:val="00E8459D"/>
    <w:rsid w:val="00E8512F"/>
    <w:rsid w:val="00E86410"/>
    <w:rsid w:val="00E8685F"/>
    <w:rsid w:val="00E95B24"/>
    <w:rsid w:val="00E9601E"/>
    <w:rsid w:val="00E974B2"/>
    <w:rsid w:val="00EA0F75"/>
    <w:rsid w:val="00EA18B5"/>
    <w:rsid w:val="00EA6B39"/>
    <w:rsid w:val="00EA6D26"/>
    <w:rsid w:val="00EA78AF"/>
    <w:rsid w:val="00EA7C30"/>
    <w:rsid w:val="00EB18B5"/>
    <w:rsid w:val="00EB4471"/>
    <w:rsid w:val="00EB4CE8"/>
    <w:rsid w:val="00EC4E1A"/>
    <w:rsid w:val="00EC5188"/>
    <w:rsid w:val="00EC5591"/>
    <w:rsid w:val="00ED243A"/>
    <w:rsid w:val="00EE64BD"/>
    <w:rsid w:val="00F00A61"/>
    <w:rsid w:val="00F116FB"/>
    <w:rsid w:val="00F11A1F"/>
    <w:rsid w:val="00F12832"/>
    <w:rsid w:val="00F17F89"/>
    <w:rsid w:val="00F23496"/>
    <w:rsid w:val="00F3261C"/>
    <w:rsid w:val="00F35A19"/>
    <w:rsid w:val="00F44D3E"/>
    <w:rsid w:val="00F47268"/>
    <w:rsid w:val="00F47CDF"/>
    <w:rsid w:val="00F57B86"/>
    <w:rsid w:val="00F60D8E"/>
    <w:rsid w:val="00F62BBC"/>
    <w:rsid w:val="00F62E87"/>
    <w:rsid w:val="00F665EB"/>
    <w:rsid w:val="00F70668"/>
    <w:rsid w:val="00F71EE2"/>
    <w:rsid w:val="00F77376"/>
    <w:rsid w:val="00F80690"/>
    <w:rsid w:val="00F81C9E"/>
    <w:rsid w:val="00F82E68"/>
    <w:rsid w:val="00F835E2"/>
    <w:rsid w:val="00F85F6A"/>
    <w:rsid w:val="00F8661D"/>
    <w:rsid w:val="00F9346B"/>
    <w:rsid w:val="00F94A29"/>
    <w:rsid w:val="00F96082"/>
    <w:rsid w:val="00F96D25"/>
    <w:rsid w:val="00F97095"/>
    <w:rsid w:val="00FA08AD"/>
    <w:rsid w:val="00FA0EF5"/>
    <w:rsid w:val="00FA13B9"/>
    <w:rsid w:val="00FA1BB7"/>
    <w:rsid w:val="00FA71F6"/>
    <w:rsid w:val="00FA7759"/>
    <w:rsid w:val="00FB0852"/>
    <w:rsid w:val="00FB440E"/>
    <w:rsid w:val="00FB686B"/>
    <w:rsid w:val="00FC17BD"/>
    <w:rsid w:val="00FC4767"/>
    <w:rsid w:val="00FC5C36"/>
    <w:rsid w:val="00FC7A98"/>
    <w:rsid w:val="00FD3663"/>
    <w:rsid w:val="00FD42B0"/>
    <w:rsid w:val="00FE2A94"/>
    <w:rsid w:val="00FE308D"/>
    <w:rsid w:val="00FE413B"/>
    <w:rsid w:val="00FE47FC"/>
    <w:rsid w:val="00FF128C"/>
    <w:rsid w:val="00FF1A21"/>
    <w:rsid w:val="00FF5753"/>
    <w:rsid w:val="00FF6994"/>
    <w:rsid w:val="00FF6B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2525"/>
    <w:pPr>
      <w:spacing w:before="120" w:after="120"/>
    </w:pPr>
    <w:rPr>
      <w:rFonts w:ascii="Arial" w:hAnsi="Arial"/>
      <w:sz w:val="24"/>
      <w:szCs w:val="24"/>
    </w:rPr>
  </w:style>
  <w:style w:type="paragraph" w:styleId="Heading1">
    <w:name w:val="heading 1"/>
    <w:basedOn w:val="Normal"/>
    <w:next w:val="Normal"/>
    <w:qFormat/>
    <w:rsid w:val="0085106E"/>
    <w:pPr>
      <w:keepNext/>
      <w:spacing w:before="360"/>
      <w:outlineLvl w:val="0"/>
    </w:pPr>
    <w:rPr>
      <w:rFonts w:cs="Arial"/>
      <w:b/>
      <w:bCs/>
      <w:caps/>
      <w:kern w:val="32"/>
    </w:rPr>
  </w:style>
  <w:style w:type="paragraph" w:styleId="Heading2">
    <w:name w:val="heading 2"/>
    <w:aliases w:val="h2,Para2,h21,h22,h2 main heading,B Sub/Bold,B Sub/Bold1,B Sub/Bold2,B Sub/Bold11,h2 main heading1,h2 main heading2,B Sub/Bold3,B Sub/Bold12,h2 main heading3,B Sub/Bold4,B Sub/Bold13,H2,SubPara,Section,2m,h 2,body,h2.H2,1.1,UNDERRUBRIK 1-2"/>
    <w:basedOn w:val="Normal"/>
    <w:next w:val="Normal"/>
    <w:qFormat/>
    <w:rsid w:val="00E13021"/>
    <w:pPr>
      <w:keepNext/>
      <w:spacing w:after="60"/>
      <w:outlineLvl w:val="1"/>
    </w:pPr>
    <w:rPr>
      <w:rFonts w:cs="Arial"/>
      <w:b/>
      <w:bCs/>
      <w:i/>
      <w:iCs/>
      <w:szCs w:val="28"/>
    </w:rPr>
  </w:style>
  <w:style w:type="paragraph" w:styleId="Heading3">
    <w:name w:val="heading 3"/>
    <w:basedOn w:val="Normal"/>
    <w:next w:val="Normal"/>
    <w:qFormat/>
    <w:rsid w:val="006859B3"/>
    <w:pPr>
      <w:keepNext/>
      <w:spacing w:before="240" w:after="60"/>
      <w:outlineLvl w:val="2"/>
    </w:pPr>
    <w:rPr>
      <w:rFonts w:cs="Arial"/>
      <w:bCs/>
      <w:i/>
      <w:szCs w:val="26"/>
      <w:u w:val="single"/>
    </w:rPr>
  </w:style>
  <w:style w:type="paragraph" w:styleId="Heading4">
    <w:name w:val="heading 4"/>
    <w:basedOn w:val="Normal"/>
    <w:next w:val="Normal"/>
    <w:qFormat/>
    <w:rsid w:val="00E33548"/>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702CB"/>
    <w:pPr>
      <w:tabs>
        <w:tab w:val="center" w:pos="4153"/>
        <w:tab w:val="right" w:pos="8306"/>
      </w:tabs>
    </w:pPr>
  </w:style>
  <w:style w:type="paragraph" w:styleId="Footer">
    <w:name w:val="footer"/>
    <w:basedOn w:val="Normal"/>
    <w:rsid w:val="003702CB"/>
    <w:pPr>
      <w:tabs>
        <w:tab w:val="center" w:pos="4153"/>
        <w:tab w:val="right" w:pos="8306"/>
      </w:tabs>
    </w:pPr>
  </w:style>
  <w:style w:type="character" w:styleId="PageNumber">
    <w:name w:val="page number"/>
    <w:basedOn w:val="DefaultParagraphFont"/>
    <w:rsid w:val="0085106E"/>
  </w:style>
  <w:style w:type="paragraph" w:customStyle="1" w:styleId="ActHead5">
    <w:name w:val="ActHead 5"/>
    <w:aliases w:val="s"/>
    <w:basedOn w:val="Normal"/>
    <w:next w:val="Normal"/>
    <w:rsid w:val="00492354"/>
    <w:pPr>
      <w:keepNext/>
      <w:keepLines/>
      <w:spacing w:before="280" w:after="0"/>
      <w:ind w:left="1134" w:hanging="1134"/>
      <w:outlineLvl w:val="4"/>
    </w:pPr>
    <w:rPr>
      <w:rFonts w:ascii="Times New Roman" w:hAnsi="Times New Roman"/>
      <w:b/>
      <w:bCs/>
      <w:kern w:val="28"/>
      <w:szCs w:val="32"/>
    </w:rPr>
  </w:style>
  <w:style w:type="character" w:customStyle="1" w:styleId="CharSectno">
    <w:name w:val="CharSectno"/>
    <w:basedOn w:val="DefaultParagraphFont"/>
    <w:rsid w:val="00492354"/>
  </w:style>
  <w:style w:type="paragraph" w:customStyle="1" w:styleId="subsection">
    <w:name w:val="subsection"/>
    <w:aliases w:val="ss"/>
    <w:rsid w:val="00492354"/>
    <w:pPr>
      <w:tabs>
        <w:tab w:val="right" w:pos="1021"/>
      </w:tabs>
      <w:spacing w:before="180"/>
      <w:ind w:left="1134" w:hanging="1134"/>
    </w:pPr>
    <w:rPr>
      <w:sz w:val="22"/>
      <w:szCs w:val="24"/>
    </w:rPr>
  </w:style>
  <w:style w:type="paragraph" w:customStyle="1" w:styleId="paragraph">
    <w:name w:val="paragraph"/>
    <w:aliases w:val="a"/>
    <w:rsid w:val="00492354"/>
    <w:pPr>
      <w:tabs>
        <w:tab w:val="right" w:pos="1531"/>
      </w:tabs>
      <w:spacing w:before="40"/>
      <w:ind w:left="1644" w:hanging="1644"/>
    </w:pPr>
    <w:rPr>
      <w:sz w:val="22"/>
      <w:szCs w:val="24"/>
    </w:rPr>
  </w:style>
  <w:style w:type="paragraph" w:customStyle="1" w:styleId="notetext">
    <w:name w:val="note(text)"/>
    <w:aliases w:val="n"/>
    <w:rsid w:val="00492354"/>
    <w:pPr>
      <w:spacing w:before="122" w:line="198" w:lineRule="exact"/>
      <w:ind w:left="1985" w:hanging="851"/>
    </w:pPr>
    <w:rPr>
      <w:sz w:val="18"/>
      <w:szCs w:val="24"/>
    </w:rPr>
  </w:style>
  <w:style w:type="table" w:styleId="TableGrid">
    <w:name w:val="Table Grid"/>
    <w:basedOn w:val="TableNormal"/>
    <w:rsid w:val="008A642A"/>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FNumLevel2">
    <w:name w:val="PF (Num) Level 2"/>
    <w:basedOn w:val="Normal"/>
    <w:rsid w:val="00BB1993"/>
    <w:pPr>
      <w:numPr>
        <w:ilvl w:val="1"/>
        <w:numId w:val="3"/>
      </w:numPr>
      <w:tabs>
        <w:tab w:val="left" w:pos="2773"/>
        <w:tab w:val="left" w:pos="3697"/>
        <w:tab w:val="left" w:pos="4621"/>
        <w:tab w:val="left" w:pos="5545"/>
        <w:tab w:val="left" w:pos="6469"/>
        <w:tab w:val="left" w:pos="7394"/>
        <w:tab w:val="left" w:pos="8318"/>
        <w:tab w:val="right" w:pos="8930"/>
      </w:tabs>
      <w:spacing w:line="276" w:lineRule="auto"/>
    </w:pPr>
    <w:rPr>
      <w:color w:val="000000"/>
      <w:sz w:val="21"/>
      <w:szCs w:val="20"/>
      <w:lang w:eastAsia="en-US"/>
    </w:rPr>
  </w:style>
  <w:style w:type="paragraph" w:customStyle="1" w:styleId="PFNumLevel3">
    <w:name w:val="PF (Num) Level 3"/>
    <w:basedOn w:val="Normal"/>
    <w:rsid w:val="00BB1993"/>
    <w:pPr>
      <w:numPr>
        <w:ilvl w:val="2"/>
        <w:numId w:val="3"/>
      </w:numPr>
      <w:tabs>
        <w:tab w:val="left" w:pos="3697"/>
        <w:tab w:val="left" w:pos="4621"/>
        <w:tab w:val="left" w:pos="5545"/>
        <w:tab w:val="left" w:pos="6469"/>
        <w:tab w:val="left" w:pos="7394"/>
        <w:tab w:val="left" w:pos="8318"/>
        <w:tab w:val="right" w:pos="8930"/>
      </w:tabs>
      <w:spacing w:line="276" w:lineRule="auto"/>
    </w:pPr>
    <w:rPr>
      <w:color w:val="000000"/>
      <w:sz w:val="21"/>
      <w:szCs w:val="20"/>
      <w:lang w:eastAsia="en-US"/>
    </w:rPr>
  </w:style>
  <w:style w:type="paragraph" w:customStyle="1" w:styleId="PFNumLevel5">
    <w:name w:val="PF (Num) Level 5"/>
    <w:basedOn w:val="Normal"/>
    <w:rsid w:val="00BB1993"/>
    <w:pPr>
      <w:numPr>
        <w:ilvl w:val="4"/>
        <w:numId w:val="3"/>
      </w:numPr>
      <w:tabs>
        <w:tab w:val="left" w:pos="2773"/>
        <w:tab w:val="left" w:pos="3697"/>
        <w:tab w:val="left" w:pos="4621"/>
        <w:tab w:val="left" w:pos="5545"/>
        <w:tab w:val="left" w:pos="6469"/>
        <w:tab w:val="left" w:pos="7394"/>
        <w:tab w:val="left" w:pos="8318"/>
        <w:tab w:val="right" w:pos="8930"/>
      </w:tabs>
      <w:spacing w:line="276" w:lineRule="auto"/>
    </w:pPr>
    <w:rPr>
      <w:color w:val="000000"/>
      <w:sz w:val="21"/>
      <w:szCs w:val="20"/>
      <w:lang w:eastAsia="en-US"/>
    </w:rPr>
  </w:style>
  <w:style w:type="character" w:styleId="Hyperlink">
    <w:name w:val="Hyperlink"/>
    <w:uiPriority w:val="99"/>
    <w:rsid w:val="00BB1993"/>
    <w:rPr>
      <w:color w:val="0000FF"/>
      <w:u w:val="none"/>
    </w:rPr>
  </w:style>
  <w:style w:type="character" w:styleId="Strong">
    <w:name w:val="Strong"/>
    <w:qFormat/>
    <w:rsid w:val="00F00A61"/>
    <w:rPr>
      <w:b/>
      <w:bCs/>
    </w:rPr>
  </w:style>
  <w:style w:type="character" w:styleId="FollowedHyperlink">
    <w:name w:val="FollowedHyperlink"/>
    <w:rsid w:val="00482DD7"/>
    <w:rPr>
      <w:color w:val="606420"/>
      <w:u w:val="single"/>
    </w:rPr>
  </w:style>
  <w:style w:type="paragraph" w:styleId="PlainText">
    <w:name w:val="Plain Text"/>
    <w:basedOn w:val="Normal"/>
    <w:rsid w:val="00AC4466"/>
    <w:pPr>
      <w:spacing w:before="0" w:after="0"/>
    </w:pPr>
    <w:rPr>
      <w:rFonts w:ascii="Courier New" w:hAnsi="Courier New"/>
      <w:sz w:val="20"/>
      <w:szCs w:val="20"/>
    </w:rPr>
  </w:style>
  <w:style w:type="paragraph" w:customStyle="1" w:styleId="Pa7">
    <w:name w:val="Pa7"/>
    <w:basedOn w:val="Normal"/>
    <w:next w:val="Normal"/>
    <w:rsid w:val="00AC4466"/>
    <w:pPr>
      <w:autoSpaceDE w:val="0"/>
      <w:autoSpaceDN w:val="0"/>
      <w:adjustRightInd w:val="0"/>
      <w:spacing w:before="0" w:after="40" w:line="191" w:lineRule="atLeast"/>
    </w:pPr>
    <w:rPr>
      <w:rFonts w:ascii="Helvetica Neue" w:hAnsi="Helvetica Neue"/>
    </w:rPr>
  </w:style>
  <w:style w:type="character" w:customStyle="1" w:styleId="A6">
    <w:name w:val="A6"/>
    <w:rsid w:val="00AC4466"/>
    <w:rPr>
      <w:rFonts w:ascii="Webdings" w:hAnsi="Webdings" w:cs="Webdings"/>
      <w:color w:val="000000"/>
    </w:rPr>
  </w:style>
  <w:style w:type="paragraph" w:customStyle="1" w:styleId="Pa5">
    <w:name w:val="Pa5"/>
    <w:basedOn w:val="Normal"/>
    <w:next w:val="Normal"/>
    <w:rsid w:val="00AC4466"/>
    <w:pPr>
      <w:autoSpaceDE w:val="0"/>
      <w:autoSpaceDN w:val="0"/>
      <w:adjustRightInd w:val="0"/>
      <w:spacing w:before="0" w:after="100" w:line="191" w:lineRule="atLeast"/>
    </w:pPr>
    <w:rPr>
      <w:rFonts w:ascii="Helvetica Neue" w:hAnsi="Helvetica Neue"/>
    </w:rPr>
  </w:style>
  <w:style w:type="paragraph" w:customStyle="1" w:styleId="Default">
    <w:name w:val="Default"/>
    <w:rsid w:val="00AC4466"/>
    <w:pPr>
      <w:autoSpaceDE w:val="0"/>
      <w:autoSpaceDN w:val="0"/>
      <w:adjustRightInd w:val="0"/>
    </w:pPr>
    <w:rPr>
      <w:rFonts w:ascii="Helvetica Neue" w:hAnsi="Helvetica Neue" w:cs="Helvetica Neue"/>
      <w:color w:val="000000"/>
      <w:sz w:val="24"/>
      <w:szCs w:val="24"/>
    </w:rPr>
  </w:style>
  <w:style w:type="paragraph" w:customStyle="1" w:styleId="Pa13">
    <w:name w:val="Pa13"/>
    <w:basedOn w:val="Default"/>
    <w:next w:val="Default"/>
    <w:rsid w:val="00AC4466"/>
    <w:pPr>
      <w:spacing w:before="40" w:after="40" w:line="200" w:lineRule="atLeast"/>
    </w:pPr>
    <w:rPr>
      <w:rFonts w:cs="Times New Roman"/>
      <w:color w:val="auto"/>
    </w:rPr>
  </w:style>
  <w:style w:type="character" w:styleId="CommentReference">
    <w:name w:val="annotation reference"/>
    <w:semiHidden/>
    <w:rsid w:val="00AC4466"/>
    <w:rPr>
      <w:sz w:val="16"/>
      <w:szCs w:val="16"/>
    </w:rPr>
  </w:style>
  <w:style w:type="paragraph" w:styleId="CommentText">
    <w:name w:val="annotation text"/>
    <w:basedOn w:val="Normal"/>
    <w:semiHidden/>
    <w:rsid w:val="00AC4466"/>
    <w:rPr>
      <w:sz w:val="20"/>
      <w:szCs w:val="20"/>
    </w:rPr>
  </w:style>
  <w:style w:type="paragraph" w:styleId="CommentSubject">
    <w:name w:val="annotation subject"/>
    <w:basedOn w:val="CommentText"/>
    <w:next w:val="CommentText"/>
    <w:semiHidden/>
    <w:rsid w:val="00AC4466"/>
    <w:rPr>
      <w:b/>
      <w:bCs/>
    </w:rPr>
  </w:style>
  <w:style w:type="paragraph" w:styleId="BalloonText">
    <w:name w:val="Balloon Text"/>
    <w:basedOn w:val="Normal"/>
    <w:semiHidden/>
    <w:rsid w:val="00AC4466"/>
    <w:rPr>
      <w:rFonts w:ascii="Tahoma" w:hAnsi="Tahoma" w:cs="Tahoma"/>
      <w:sz w:val="16"/>
      <w:szCs w:val="16"/>
    </w:rPr>
  </w:style>
  <w:style w:type="paragraph" w:customStyle="1" w:styleId="Bullet">
    <w:name w:val="Bullet"/>
    <w:basedOn w:val="Normal"/>
    <w:autoRedefine/>
    <w:rsid w:val="00AB6F1E"/>
    <w:pPr>
      <w:numPr>
        <w:ilvl w:val="1"/>
        <w:numId w:val="11"/>
      </w:numPr>
    </w:pPr>
    <w:rPr>
      <w:rFonts w:cs="Arial"/>
      <w:i/>
    </w:rPr>
  </w:style>
  <w:style w:type="paragraph" w:styleId="FootnoteText">
    <w:name w:val="footnote text"/>
    <w:basedOn w:val="Normal"/>
    <w:semiHidden/>
    <w:rsid w:val="006D2871"/>
    <w:rPr>
      <w:sz w:val="20"/>
      <w:szCs w:val="20"/>
    </w:rPr>
  </w:style>
  <w:style w:type="character" w:styleId="FootnoteReference">
    <w:name w:val="footnote reference"/>
    <w:semiHidden/>
    <w:rsid w:val="006D2871"/>
    <w:rPr>
      <w:vertAlign w:val="superscript"/>
    </w:rPr>
  </w:style>
  <w:style w:type="paragraph" w:customStyle="1" w:styleId="Level1">
    <w:name w:val="Level 1."/>
    <w:basedOn w:val="Normal"/>
    <w:rsid w:val="00211415"/>
    <w:pPr>
      <w:numPr>
        <w:numId w:val="8"/>
      </w:numPr>
      <w:spacing w:before="0" w:after="200" w:line="276" w:lineRule="auto"/>
    </w:pPr>
    <w:rPr>
      <w:rFonts w:ascii="Calibri" w:hAnsi="Calibri"/>
      <w:sz w:val="22"/>
      <w:szCs w:val="22"/>
    </w:rPr>
  </w:style>
  <w:style w:type="paragraph" w:customStyle="1" w:styleId="Levela">
    <w:name w:val="Level (a)"/>
    <w:basedOn w:val="Normal"/>
    <w:rsid w:val="00211415"/>
    <w:pPr>
      <w:numPr>
        <w:ilvl w:val="2"/>
        <w:numId w:val="8"/>
      </w:numPr>
      <w:spacing w:before="0" w:after="200" w:line="276" w:lineRule="auto"/>
    </w:pPr>
    <w:rPr>
      <w:rFonts w:ascii="Calibri" w:hAnsi="Calibri"/>
      <w:sz w:val="22"/>
      <w:szCs w:val="22"/>
    </w:rPr>
  </w:style>
  <w:style w:type="paragraph" w:customStyle="1" w:styleId="Leveli">
    <w:name w:val="Level (i)"/>
    <w:basedOn w:val="Normal"/>
    <w:rsid w:val="00211415"/>
    <w:pPr>
      <w:numPr>
        <w:ilvl w:val="3"/>
        <w:numId w:val="8"/>
      </w:numPr>
      <w:spacing w:before="0" w:after="200" w:line="276" w:lineRule="auto"/>
    </w:pPr>
    <w:rPr>
      <w:rFonts w:ascii="Calibri" w:hAnsi="Calibri"/>
      <w:sz w:val="22"/>
      <w:szCs w:val="22"/>
    </w:rPr>
  </w:style>
  <w:style w:type="paragraph" w:customStyle="1" w:styleId="LevelA0">
    <w:name w:val="Level(A)"/>
    <w:basedOn w:val="Normal"/>
    <w:rsid w:val="00211415"/>
    <w:pPr>
      <w:numPr>
        <w:ilvl w:val="4"/>
        <w:numId w:val="8"/>
      </w:numPr>
      <w:spacing w:before="0" w:after="200" w:line="276" w:lineRule="auto"/>
    </w:pPr>
    <w:rPr>
      <w:rFonts w:ascii="Calibri" w:hAnsi="Calibri"/>
      <w:sz w:val="22"/>
      <w:szCs w:val="22"/>
    </w:rPr>
  </w:style>
  <w:style w:type="paragraph" w:customStyle="1" w:styleId="LevelI0">
    <w:name w:val="Level(I)"/>
    <w:basedOn w:val="Normal"/>
    <w:rsid w:val="00211415"/>
    <w:pPr>
      <w:numPr>
        <w:ilvl w:val="5"/>
        <w:numId w:val="8"/>
      </w:numPr>
      <w:spacing w:before="0" w:after="200" w:line="276" w:lineRule="auto"/>
    </w:pPr>
    <w:rPr>
      <w:rFonts w:ascii="Calibri" w:hAnsi="Calibri"/>
      <w:sz w:val="22"/>
      <w:szCs w:val="22"/>
    </w:rPr>
  </w:style>
  <w:style w:type="paragraph" w:customStyle="1" w:styleId="MELegal2">
    <w:name w:val="ME Legal 2"/>
    <w:basedOn w:val="Normal"/>
    <w:next w:val="Normal"/>
    <w:rsid w:val="00AB6F1E"/>
    <w:pPr>
      <w:keepNext/>
      <w:tabs>
        <w:tab w:val="num" w:pos="924"/>
      </w:tabs>
      <w:spacing w:before="60" w:after="60" w:line="280" w:lineRule="atLeast"/>
      <w:ind w:left="924" w:hanging="924"/>
      <w:outlineLvl w:val="1"/>
    </w:pPr>
    <w:rPr>
      <w:rFonts w:cs="Arial"/>
      <w:b/>
      <w:bCs/>
      <w:w w:val="95"/>
      <w:lang w:eastAsia="zh-CN"/>
    </w:rPr>
  </w:style>
  <w:style w:type="paragraph" w:customStyle="1" w:styleId="MELegal3">
    <w:name w:val="ME Legal 3"/>
    <w:basedOn w:val="Normal"/>
    <w:rsid w:val="00AB6F1E"/>
    <w:pPr>
      <w:tabs>
        <w:tab w:val="num" w:pos="1848"/>
      </w:tabs>
      <w:spacing w:before="0" w:after="140" w:line="280" w:lineRule="atLeast"/>
      <w:ind w:left="1848" w:hanging="924"/>
      <w:outlineLvl w:val="2"/>
    </w:pPr>
    <w:rPr>
      <w:rFonts w:ascii="Times New Roman" w:hAnsi="Times New Roman"/>
      <w:sz w:val="22"/>
      <w:szCs w:val="22"/>
      <w:lang w:eastAsia="zh-CN"/>
    </w:rPr>
  </w:style>
  <w:style w:type="paragraph" w:customStyle="1" w:styleId="MELegal4">
    <w:name w:val="ME Legal 4"/>
    <w:basedOn w:val="Normal"/>
    <w:rsid w:val="00C20329"/>
    <w:pPr>
      <w:numPr>
        <w:ilvl w:val="3"/>
        <w:numId w:val="3"/>
      </w:numPr>
      <w:spacing w:before="0" w:after="140" w:line="280" w:lineRule="atLeast"/>
      <w:outlineLvl w:val="3"/>
    </w:pPr>
    <w:rPr>
      <w:rFonts w:ascii="Times New Roman" w:hAnsi="Times New Roman"/>
      <w:sz w:val="22"/>
      <w:szCs w:val="22"/>
      <w:lang w:eastAsia="zh-CN"/>
    </w:rPr>
  </w:style>
  <w:style w:type="paragraph" w:customStyle="1" w:styleId="MELegal1">
    <w:name w:val="ME Legal 1"/>
    <w:basedOn w:val="Normal"/>
    <w:next w:val="Normal"/>
    <w:rsid w:val="00C20329"/>
    <w:pPr>
      <w:keepNext/>
      <w:numPr>
        <w:numId w:val="9"/>
      </w:numPr>
      <w:spacing w:before="280" w:after="140" w:line="280" w:lineRule="atLeast"/>
      <w:outlineLvl w:val="0"/>
    </w:pPr>
    <w:rPr>
      <w:rFonts w:cs="Arial"/>
      <w:spacing w:val="-10"/>
      <w:w w:val="95"/>
      <w:sz w:val="32"/>
      <w:szCs w:val="32"/>
      <w:lang w:eastAsia="zh-CN"/>
    </w:rPr>
  </w:style>
  <w:style w:type="paragraph" w:styleId="Caption">
    <w:name w:val="caption"/>
    <w:basedOn w:val="Normal"/>
    <w:next w:val="Normal"/>
    <w:qFormat/>
    <w:rsid w:val="00E33548"/>
    <w:rPr>
      <w:b/>
      <w:bCs/>
      <w:sz w:val="20"/>
      <w:szCs w:val="20"/>
    </w:rPr>
  </w:style>
  <w:style w:type="paragraph" w:styleId="NormalWeb">
    <w:name w:val="Normal (Web)"/>
    <w:basedOn w:val="Normal"/>
    <w:rsid w:val="008E5377"/>
    <w:pPr>
      <w:spacing w:before="100" w:beforeAutospacing="1" w:after="100" w:afterAutospacing="1"/>
    </w:pPr>
    <w:rPr>
      <w:rFonts w:ascii="Times New Roman" w:hAnsi="Times New Roman"/>
    </w:rPr>
  </w:style>
  <w:style w:type="paragraph" w:styleId="TOC1">
    <w:name w:val="toc 1"/>
    <w:basedOn w:val="Normal"/>
    <w:next w:val="Normal"/>
    <w:autoRedefine/>
    <w:uiPriority w:val="39"/>
    <w:rsid w:val="00AB6F1E"/>
    <w:pPr>
      <w:tabs>
        <w:tab w:val="right" w:leader="dot" w:pos="9016"/>
      </w:tabs>
      <w:jc w:val="center"/>
    </w:pPr>
  </w:style>
  <w:style w:type="paragraph" w:styleId="TOC2">
    <w:name w:val="toc 2"/>
    <w:basedOn w:val="Normal"/>
    <w:next w:val="Normal"/>
    <w:autoRedefine/>
    <w:semiHidden/>
    <w:rsid w:val="003D1379"/>
    <w:pPr>
      <w:ind w:left="240"/>
    </w:pPr>
  </w:style>
  <w:style w:type="paragraph" w:styleId="TOC3">
    <w:name w:val="toc 3"/>
    <w:basedOn w:val="Normal"/>
    <w:next w:val="Normal"/>
    <w:autoRedefine/>
    <w:semiHidden/>
    <w:rsid w:val="003D1379"/>
    <w:pPr>
      <w:ind w:left="480"/>
    </w:pPr>
  </w:style>
  <w:style w:type="paragraph" w:styleId="Revision">
    <w:name w:val="Revision"/>
    <w:hidden/>
    <w:uiPriority w:val="99"/>
    <w:semiHidden/>
    <w:rsid w:val="002246D9"/>
    <w:rPr>
      <w:rFonts w:ascii="Arial" w:hAnsi="Arial"/>
      <w:sz w:val="24"/>
      <w:szCs w:val="24"/>
    </w:rPr>
  </w:style>
  <w:style w:type="table" w:customStyle="1" w:styleId="TableGrid1">
    <w:name w:val="Table Grid1"/>
    <w:basedOn w:val="TableNormal"/>
    <w:next w:val="TableGrid"/>
    <w:uiPriority w:val="59"/>
    <w:rsid w:val="002C4FE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C4FE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2525"/>
    <w:pPr>
      <w:spacing w:before="120" w:after="120"/>
    </w:pPr>
    <w:rPr>
      <w:rFonts w:ascii="Arial" w:hAnsi="Arial"/>
      <w:sz w:val="24"/>
      <w:szCs w:val="24"/>
    </w:rPr>
  </w:style>
  <w:style w:type="paragraph" w:styleId="Heading1">
    <w:name w:val="heading 1"/>
    <w:basedOn w:val="Normal"/>
    <w:next w:val="Normal"/>
    <w:qFormat/>
    <w:rsid w:val="0085106E"/>
    <w:pPr>
      <w:keepNext/>
      <w:spacing w:before="360"/>
      <w:outlineLvl w:val="0"/>
    </w:pPr>
    <w:rPr>
      <w:rFonts w:cs="Arial"/>
      <w:b/>
      <w:bCs/>
      <w:caps/>
      <w:kern w:val="32"/>
    </w:rPr>
  </w:style>
  <w:style w:type="paragraph" w:styleId="Heading2">
    <w:name w:val="heading 2"/>
    <w:aliases w:val="h2,Para2,h21,h22,h2 main heading,B Sub/Bold,B Sub/Bold1,B Sub/Bold2,B Sub/Bold11,h2 main heading1,h2 main heading2,B Sub/Bold3,B Sub/Bold12,h2 main heading3,B Sub/Bold4,B Sub/Bold13,H2,SubPara,Section,2m,h 2,body,h2.H2,1.1,UNDERRUBRIK 1-2"/>
    <w:basedOn w:val="Normal"/>
    <w:next w:val="Normal"/>
    <w:qFormat/>
    <w:rsid w:val="00E13021"/>
    <w:pPr>
      <w:keepNext/>
      <w:spacing w:after="60"/>
      <w:outlineLvl w:val="1"/>
    </w:pPr>
    <w:rPr>
      <w:rFonts w:cs="Arial"/>
      <w:b/>
      <w:bCs/>
      <w:i/>
      <w:iCs/>
      <w:szCs w:val="28"/>
    </w:rPr>
  </w:style>
  <w:style w:type="paragraph" w:styleId="Heading3">
    <w:name w:val="heading 3"/>
    <w:basedOn w:val="Normal"/>
    <w:next w:val="Normal"/>
    <w:qFormat/>
    <w:rsid w:val="006859B3"/>
    <w:pPr>
      <w:keepNext/>
      <w:spacing w:before="240" w:after="60"/>
      <w:outlineLvl w:val="2"/>
    </w:pPr>
    <w:rPr>
      <w:rFonts w:cs="Arial"/>
      <w:bCs/>
      <w:i/>
      <w:szCs w:val="26"/>
      <w:u w:val="single"/>
    </w:rPr>
  </w:style>
  <w:style w:type="paragraph" w:styleId="Heading4">
    <w:name w:val="heading 4"/>
    <w:basedOn w:val="Normal"/>
    <w:next w:val="Normal"/>
    <w:qFormat/>
    <w:rsid w:val="00E33548"/>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702CB"/>
    <w:pPr>
      <w:tabs>
        <w:tab w:val="center" w:pos="4153"/>
        <w:tab w:val="right" w:pos="8306"/>
      </w:tabs>
    </w:pPr>
  </w:style>
  <w:style w:type="paragraph" w:styleId="Footer">
    <w:name w:val="footer"/>
    <w:basedOn w:val="Normal"/>
    <w:rsid w:val="003702CB"/>
    <w:pPr>
      <w:tabs>
        <w:tab w:val="center" w:pos="4153"/>
        <w:tab w:val="right" w:pos="8306"/>
      </w:tabs>
    </w:pPr>
  </w:style>
  <w:style w:type="character" w:styleId="PageNumber">
    <w:name w:val="page number"/>
    <w:basedOn w:val="DefaultParagraphFont"/>
    <w:rsid w:val="0085106E"/>
  </w:style>
  <w:style w:type="paragraph" w:customStyle="1" w:styleId="ActHead5">
    <w:name w:val="ActHead 5"/>
    <w:aliases w:val="s"/>
    <w:basedOn w:val="Normal"/>
    <w:next w:val="Normal"/>
    <w:rsid w:val="00492354"/>
    <w:pPr>
      <w:keepNext/>
      <w:keepLines/>
      <w:spacing w:before="280" w:after="0"/>
      <w:ind w:left="1134" w:hanging="1134"/>
      <w:outlineLvl w:val="4"/>
    </w:pPr>
    <w:rPr>
      <w:rFonts w:ascii="Times New Roman" w:hAnsi="Times New Roman"/>
      <w:b/>
      <w:bCs/>
      <w:kern w:val="28"/>
      <w:szCs w:val="32"/>
    </w:rPr>
  </w:style>
  <w:style w:type="character" w:customStyle="1" w:styleId="CharSectno">
    <w:name w:val="CharSectno"/>
    <w:basedOn w:val="DefaultParagraphFont"/>
    <w:rsid w:val="00492354"/>
  </w:style>
  <w:style w:type="paragraph" w:customStyle="1" w:styleId="subsection">
    <w:name w:val="subsection"/>
    <w:aliases w:val="ss"/>
    <w:rsid w:val="00492354"/>
    <w:pPr>
      <w:tabs>
        <w:tab w:val="right" w:pos="1021"/>
      </w:tabs>
      <w:spacing w:before="180"/>
      <w:ind w:left="1134" w:hanging="1134"/>
    </w:pPr>
    <w:rPr>
      <w:sz w:val="22"/>
      <w:szCs w:val="24"/>
    </w:rPr>
  </w:style>
  <w:style w:type="paragraph" w:customStyle="1" w:styleId="paragraph">
    <w:name w:val="paragraph"/>
    <w:aliases w:val="a"/>
    <w:rsid w:val="00492354"/>
    <w:pPr>
      <w:tabs>
        <w:tab w:val="right" w:pos="1531"/>
      </w:tabs>
      <w:spacing w:before="40"/>
      <w:ind w:left="1644" w:hanging="1644"/>
    </w:pPr>
    <w:rPr>
      <w:sz w:val="22"/>
      <w:szCs w:val="24"/>
    </w:rPr>
  </w:style>
  <w:style w:type="paragraph" w:customStyle="1" w:styleId="notetext">
    <w:name w:val="note(text)"/>
    <w:aliases w:val="n"/>
    <w:rsid w:val="00492354"/>
    <w:pPr>
      <w:spacing w:before="122" w:line="198" w:lineRule="exact"/>
      <w:ind w:left="1985" w:hanging="851"/>
    </w:pPr>
    <w:rPr>
      <w:sz w:val="18"/>
      <w:szCs w:val="24"/>
    </w:rPr>
  </w:style>
  <w:style w:type="table" w:styleId="TableGrid">
    <w:name w:val="Table Grid"/>
    <w:basedOn w:val="TableNormal"/>
    <w:rsid w:val="008A642A"/>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FNumLevel2">
    <w:name w:val="PF (Num) Level 2"/>
    <w:basedOn w:val="Normal"/>
    <w:rsid w:val="00BB1993"/>
    <w:pPr>
      <w:numPr>
        <w:ilvl w:val="1"/>
        <w:numId w:val="3"/>
      </w:numPr>
      <w:tabs>
        <w:tab w:val="left" w:pos="2773"/>
        <w:tab w:val="left" w:pos="3697"/>
        <w:tab w:val="left" w:pos="4621"/>
        <w:tab w:val="left" w:pos="5545"/>
        <w:tab w:val="left" w:pos="6469"/>
        <w:tab w:val="left" w:pos="7394"/>
        <w:tab w:val="left" w:pos="8318"/>
        <w:tab w:val="right" w:pos="8930"/>
      </w:tabs>
      <w:spacing w:line="276" w:lineRule="auto"/>
    </w:pPr>
    <w:rPr>
      <w:color w:val="000000"/>
      <w:sz w:val="21"/>
      <w:szCs w:val="20"/>
      <w:lang w:eastAsia="en-US"/>
    </w:rPr>
  </w:style>
  <w:style w:type="paragraph" w:customStyle="1" w:styleId="PFNumLevel3">
    <w:name w:val="PF (Num) Level 3"/>
    <w:basedOn w:val="Normal"/>
    <w:rsid w:val="00BB1993"/>
    <w:pPr>
      <w:numPr>
        <w:ilvl w:val="2"/>
        <w:numId w:val="3"/>
      </w:numPr>
      <w:tabs>
        <w:tab w:val="left" w:pos="3697"/>
        <w:tab w:val="left" w:pos="4621"/>
        <w:tab w:val="left" w:pos="5545"/>
        <w:tab w:val="left" w:pos="6469"/>
        <w:tab w:val="left" w:pos="7394"/>
        <w:tab w:val="left" w:pos="8318"/>
        <w:tab w:val="right" w:pos="8930"/>
      </w:tabs>
      <w:spacing w:line="276" w:lineRule="auto"/>
    </w:pPr>
    <w:rPr>
      <w:color w:val="000000"/>
      <w:sz w:val="21"/>
      <w:szCs w:val="20"/>
      <w:lang w:eastAsia="en-US"/>
    </w:rPr>
  </w:style>
  <w:style w:type="paragraph" w:customStyle="1" w:styleId="PFNumLevel5">
    <w:name w:val="PF (Num) Level 5"/>
    <w:basedOn w:val="Normal"/>
    <w:rsid w:val="00BB1993"/>
    <w:pPr>
      <w:numPr>
        <w:ilvl w:val="4"/>
        <w:numId w:val="3"/>
      </w:numPr>
      <w:tabs>
        <w:tab w:val="left" w:pos="2773"/>
        <w:tab w:val="left" w:pos="3697"/>
        <w:tab w:val="left" w:pos="4621"/>
        <w:tab w:val="left" w:pos="5545"/>
        <w:tab w:val="left" w:pos="6469"/>
        <w:tab w:val="left" w:pos="7394"/>
        <w:tab w:val="left" w:pos="8318"/>
        <w:tab w:val="right" w:pos="8930"/>
      </w:tabs>
      <w:spacing w:line="276" w:lineRule="auto"/>
    </w:pPr>
    <w:rPr>
      <w:color w:val="000000"/>
      <w:sz w:val="21"/>
      <w:szCs w:val="20"/>
      <w:lang w:eastAsia="en-US"/>
    </w:rPr>
  </w:style>
  <w:style w:type="character" w:styleId="Hyperlink">
    <w:name w:val="Hyperlink"/>
    <w:uiPriority w:val="99"/>
    <w:rsid w:val="00BB1993"/>
    <w:rPr>
      <w:color w:val="0000FF"/>
      <w:u w:val="none"/>
    </w:rPr>
  </w:style>
  <w:style w:type="character" w:styleId="Strong">
    <w:name w:val="Strong"/>
    <w:qFormat/>
    <w:rsid w:val="00F00A61"/>
    <w:rPr>
      <w:b/>
      <w:bCs/>
    </w:rPr>
  </w:style>
  <w:style w:type="character" w:styleId="FollowedHyperlink">
    <w:name w:val="FollowedHyperlink"/>
    <w:rsid w:val="00482DD7"/>
    <w:rPr>
      <w:color w:val="606420"/>
      <w:u w:val="single"/>
    </w:rPr>
  </w:style>
  <w:style w:type="paragraph" w:styleId="PlainText">
    <w:name w:val="Plain Text"/>
    <w:basedOn w:val="Normal"/>
    <w:rsid w:val="00AC4466"/>
    <w:pPr>
      <w:spacing w:before="0" w:after="0"/>
    </w:pPr>
    <w:rPr>
      <w:rFonts w:ascii="Courier New" w:hAnsi="Courier New"/>
      <w:sz w:val="20"/>
      <w:szCs w:val="20"/>
    </w:rPr>
  </w:style>
  <w:style w:type="paragraph" w:customStyle="1" w:styleId="Pa7">
    <w:name w:val="Pa7"/>
    <w:basedOn w:val="Normal"/>
    <w:next w:val="Normal"/>
    <w:rsid w:val="00AC4466"/>
    <w:pPr>
      <w:autoSpaceDE w:val="0"/>
      <w:autoSpaceDN w:val="0"/>
      <w:adjustRightInd w:val="0"/>
      <w:spacing w:before="0" w:after="40" w:line="191" w:lineRule="atLeast"/>
    </w:pPr>
    <w:rPr>
      <w:rFonts w:ascii="Helvetica Neue" w:hAnsi="Helvetica Neue"/>
    </w:rPr>
  </w:style>
  <w:style w:type="character" w:customStyle="1" w:styleId="A6">
    <w:name w:val="A6"/>
    <w:rsid w:val="00AC4466"/>
    <w:rPr>
      <w:rFonts w:ascii="Webdings" w:hAnsi="Webdings" w:cs="Webdings"/>
      <w:color w:val="000000"/>
    </w:rPr>
  </w:style>
  <w:style w:type="paragraph" w:customStyle="1" w:styleId="Pa5">
    <w:name w:val="Pa5"/>
    <w:basedOn w:val="Normal"/>
    <w:next w:val="Normal"/>
    <w:rsid w:val="00AC4466"/>
    <w:pPr>
      <w:autoSpaceDE w:val="0"/>
      <w:autoSpaceDN w:val="0"/>
      <w:adjustRightInd w:val="0"/>
      <w:spacing w:before="0" w:after="100" w:line="191" w:lineRule="atLeast"/>
    </w:pPr>
    <w:rPr>
      <w:rFonts w:ascii="Helvetica Neue" w:hAnsi="Helvetica Neue"/>
    </w:rPr>
  </w:style>
  <w:style w:type="paragraph" w:customStyle="1" w:styleId="Default">
    <w:name w:val="Default"/>
    <w:rsid w:val="00AC4466"/>
    <w:pPr>
      <w:autoSpaceDE w:val="0"/>
      <w:autoSpaceDN w:val="0"/>
      <w:adjustRightInd w:val="0"/>
    </w:pPr>
    <w:rPr>
      <w:rFonts w:ascii="Helvetica Neue" w:hAnsi="Helvetica Neue" w:cs="Helvetica Neue"/>
      <w:color w:val="000000"/>
      <w:sz w:val="24"/>
      <w:szCs w:val="24"/>
    </w:rPr>
  </w:style>
  <w:style w:type="paragraph" w:customStyle="1" w:styleId="Pa13">
    <w:name w:val="Pa13"/>
    <w:basedOn w:val="Default"/>
    <w:next w:val="Default"/>
    <w:rsid w:val="00AC4466"/>
    <w:pPr>
      <w:spacing w:before="40" w:after="40" w:line="200" w:lineRule="atLeast"/>
    </w:pPr>
    <w:rPr>
      <w:rFonts w:cs="Times New Roman"/>
      <w:color w:val="auto"/>
    </w:rPr>
  </w:style>
  <w:style w:type="character" w:styleId="CommentReference">
    <w:name w:val="annotation reference"/>
    <w:semiHidden/>
    <w:rsid w:val="00AC4466"/>
    <w:rPr>
      <w:sz w:val="16"/>
      <w:szCs w:val="16"/>
    </w:rPr>
  </w:style>
  <w:style w:type="paragraph" w:styleId="CommentText">
    <w:name w:val="annotation text"/>
    <w:basedOn w:val="Normal"/>
    <w:semiHidden/>
    <w:rsid w:val="00AC4466"/>
    <w:rPr>
      <w:sz w:val="20"/>
      <w:szCs w:val="20"/>
    </w:rPr>
  </w:style>
  <w:style w:type="paragraph" w:styleId="CommentSubject">
    <w:name w:val="annotation subject"/>
    <w:basedOn w:val="CommentText"/>
    <w:next w:val="CommentText"/>
    <w:semiHidden/>
    <w:rsid w:val="00AC4466"/>
    <w:rPr>
      <w:b/>
      <w:bCs/>
    </w:rPr>
  </w:style>
  <w:style w:type="paragraph" w:styleId="BalloonText">
    <w:name w:val="Balloon Text"/>
    <w:basedOn w:val="Normal"/>
    <w:semiHidden/>
    <w:rsid w:val="00AC4466"/>
    <w:rPr>
      <w:rFonts w:ascii="Tahoma" w:hAnsi="Tahoma" w:cs="Tahoma"/>
      <w:sz w:val="16"/>
      <w:szCs w:val="16"/>
    </w:rPr>
  </w:style>
  <w:style w:type="paragraph" w:customStyle="1" w:styleId="Bullet">
    <w:name w:val="Bullet"/>
    <w:basedOn w:val="Normal"/>
    <w:autoRedefine/>
    <w:rsid w:val="00AB6F1E"/>
    <w:pPr>
      <w:numPr>
        <w:ilvl w:val="1"/>
        <w:numId w:val="11"/>
      </w:numPr>
    </w:pPr>
    <w:rPr>
      <w:rFonts w:cs="Arial"/>
      <w:i/>
    </w:rPr>
  </w:style>
  <w:style w:type="paragraph" w:styleId="FootnoteText">
    <w:name w:val="footnote text"/>
    <w:basedOn w:val="Normal"/>
    <w:semiHidden/>
    <w:rsid w:val="006D2871"/>
    <w:rPr>
      <w:sz w:val="20"/>
      <w:szCs w:val="20"/>
    </w:rPr>
  </w:style>
  <w:style w:type="character" w:styleId="FootnoteReference">
    <w:name w:val="footnote reference"/>
    <w:semiHidden/>
    <w:rsid w:val="006D2871"/>
    <w:rPr>
      <w:vertAlign w:val="superscript"/>
    </w:rPr>
  </w:style>
  <w:style w:type="paragraph" w:customStyle="1" w:styleId="Level1">
    <w:name w:val="Level 1."/>
    <w:basedOn w:val="Normal"/>
    <w:rsid w:val="00211415"/>
    <w:pPr>
      <w:numPr>
        <w:numId w:val="8"/>
      </w:numPr>
      <w:spacing w:before="0" w:after="200" w:line="276" w:lineRule="auto"/>
    </w:pPr>
    <w:rPr>
      <w:rFonts w:ascii="Calibri" w:hAnsi="Calibri"/>
      <w:sz w:val="22"/>
      <w:szCs w:val="22"/>
    </w:rPr>
  </w:style>
  <w:style w:type="paragraph" w:customStyle="1" w:styleId="Levela">
    <w:name w:val="Level (a)"/>
    <w:basedOn w:val="Normal"/>
    <w:rsid w:val="00211415"/>
    <w:pPr>
      <w:numPr>
        <w:ilvl w:val="2"/>
        <w:numId w:val="8"/>
      </w:numPr>
      <w:spacing w:before="0" w:after="200" w:line="276" w:lineRule="auto"/>
    </w:pPr>
    <w:rPr>
      <w:rFonts w:ascii="Calibri" w:hAnsi="Calibri"/>
      <w:sz w:val="22"/>
      <w:szCs w:val="22"/>
    </w:rPr>
  </w:style>
  <w:style w:type="paragraph" w:customStyle="1" w:styleId="Leveli">
    <w:name w:val="Level (i)"/>
    <w:basedOn w:val="Normal"/>
    <w:rsid w:val="00211415"/>
    <w:pPr>
      <w:numPr>
        <w:ilvl w:val="3"/>
        <w:numId w:val="8"/>
      </w:numPr>
      <w:spacing w:before="0" w:after="200" w:line="276" w:lineRule="auto"/>
    </w:pPr>
    <w:rPr>
      <w:rFonts w:ascii="Calibri" w:hAnsi="Calibri"/>
      <w:sz w:val="22"/>
      <w:szCs w:val="22"/>
    </w:rPr>
  </w:style>
  <w:style w:type="paragraph" w:customStyle="1" w:styleId="LevelA0">
    <w:name w:val="Level(A)"/>
    <w:basedOn w:val="Normal"/>
    <w:rsid w:val="00211415"/>
    <w:pPr>
      <w:numPr>
        <w:ilvl w:val="4"/>
        <w:numId w:val="8"/>
      </w:numPr>
      <w:spacing w:before="0" w:after="200" w:line="276" w:lineRule="auto"/>
    </w:pPr>
    <w:rPr>
      <w:rFonts w:ascii="Calibri" w:hAnsi="Calibri"/>
      <w:sz w:val="22"/>
      <w:szCs w:val="22"/>
    </w:rPr>
  </w:style>
  <w:style w:type="paragraph" w:customStyle="1" w:styleId="LevelI0">
    <w:name w:val="Level(I)"/>
    <w:basedOn w:val="Normal"/>
    <w:rsid w:val="00211415"/>
    <w:pPr>
      <w:numPr>
        <w:ilvl w:val="5"/>
        <w:numId w:val="8"/>
      </w:numPr>
      <w:spacing w:before="0" w:after="200" w:line="276" w:lineRule="auto"/>
    </w:pPr>
    <w:rPr>
      <w:rFonts w:ascii="Calibri" w:hAnsi="Calibri"/>
      <w:sz w:val="22"/>
      <w:szCs w:val="22"/>
    </w:rPr>
  </w:style>
  <w:style w:type="paragraph" w:customStyle="1" w:styleId="MELegal2">
    <w:name w:val="ME Legal 2"/>
    <w:basedOn w:val="Normal"/>
    <w:next w:val="Normal"/>
    <w:rsid w:val="00AB6F1E"/>
    <w:pPr>
      <w:keepNext/>
      <w:tabs>
        <w:tab w:val="num" w:pos="924"/>
      </w:tabs>
      <w:spacing w:before="60" w:after="60" w:line="280" w:lineRule="atLeast"/>
      <w:ind w:left="924" w:hanging="924"/>
      <w:outlineLvl w:val="1"/>
    </w:pPr>
    <w:rPr>
      <w:rFonts w:cs="Arial"/>
      <w:b/>
      <w:bCs/>
      <w:w w:val="95"/>
      <w:lang w:eastAsia="zh-CN"/>
    </w:rPr>
  </w:style>
  <w:style w:type="paragraph" w:customStyle="1" w:styleId="MELegal3">
    <w:name w:val="ME Legal 3"/>
    <w:basedOn w:val="Normal"/>
    <w:rsid w:val="00AB6F1E"/>
    <w:pPr>
      <w:tabs>
        <w:tab w:val="num" w:pos="1848"/>
      </w:tabs>
      <w:spacing w:before="0" w:after="140" w:line="280" w:lineRule="atLeast"/>
      <w:ind w:left="1848" w:hanging="924"/>
      <w:outlineLvl w:val="2"/>
    </w:pPr>
    <w:rPr>
      <w:rFonts w:ascii="Times New Roman" w:hAnsi="Times New Roman"/>
      <w:sz w:val="22"/>
      <w:szCs w:val="22"/>
      <w:lang w:eastAsia="zh-CN"/>
    </w:rPr>
  </w:style>
  <w:style w:type="paragraph" w:customStyle="1" w:styleId="MELegal4">
    <w:name w:val="ME Legal 4"/>
    <w:basedOn w:val="Normal"/>
    <w:rsid w:val="00C20329"/>
    <w:pPr>
      <w:numPr>
        <w:ilvl w:val="3"/>
        <w:numId w:val="3"/>
      </w:numPr>
      <w:spacing w:before="0" w:after="140" w:line="280" w:lineRule="atLeast"/>
      <w:outlineLvl w:val="3"/>
    </w:pPr>
    <w:rPr>
      <w:rFonts w:ascii="Times New Roman" w:hAnsi="Times New Roman"/>
      <w:sz w:val="22"/>
      <w:szCs w:val="22"/>
      <w:lang w:eastAsia="zh-CN"/>
    </w:rPr>
  </w:style>
  <w:style w:type="paragraph" w:customStyle="1" w:styleId="MELegal1">
    <w:name w:val="ME Legal 1"/>
    <w:basedOn w:val="Normal"/>
    <w:next w:val="Normal"/>
    <w:rsid w:val="00C20329"/>
    <w:pPr>
      <w:keepNext/>
      <w:numPr>
        <w:numId w:val="9"/>
      </w:numPr>
      <w:spacing w:before="280" w:after="140" w:line="280" w:lineRule="atLeast"/>
      <w:outlineLvl w:val="0"/>
    </w:pPr>
    <w:rPr>
      <w:rFonts w:cs="Arial"/>
      <w:spacing w:val="-10"/>
      <w:w w:val="95"/>
      <w:sz w:val="32"/>
      <w:szCs w:val="32"/>
      <w:lang w:eastAsia="zh-CN"/>
    </w:rPr>
  </w:style>
  <w:style w:type="paragraph" w:styleId="Caption">
    <w:name w:val="caption"/>
    <w:basedOn w:val="Normal"/>
    <w:next w:val="Normal"/>
    <w:qFormat/>
    <w:rsid w:val="00E33548"/>
    <w:rPr>
      <w:b/>
      <w:bCs/>
      <w:sz w:val="20"/>
      <w:szCs w:val="20"/>
    </w:rPr>
  </w:style>
  <w:style w:type="paragraph" w:styleId="NormalWeb">
    <w:name w:val="Normal (Web)"/>
    <w:basedOn w:val="Normal"/>
    <w:rsid w:val="008E5377"/>
    <w:pPr>
      <w:spacing w:before="100" w:beforeAutospacing="1" w:after="100" w:afterAutospacing="1"/>
    </w:pPr>
    <w:rPr>
      <w:rFonts w:ascii="Times New Roman" w:hAnsi="Times New Roman"/>
    </w:rPr>
  </w:style>
  <w:style w:type="paragraph" w:styleId="TOC1">
    <w:name w:val="toc 1"/>
    <w:basedOn w:val="Normal"/>
    <w:next w:val="Normal"/>
    <w:autoRedefine/>
    <w:uiPriority w:val="39"/>
    <w:rsid w:val="00AB6F1E"/>
    <w:pPr>
      <w:tabs>
        <w:tab w:val="right" w:leader="dot" w:pos="9016"/>
      </w:tabs>
      <w:jc w:val="center"/>
    </w:pPr>
  </w:style>
  <w:style w:type="paragraph" w:styleId="TOC2">
    <w:name w:val="toc 2"/>
    <w:basedOn w:val="Normal"/>
    <w:next w:val="Normal"/>
    <w:autoRedefine/>
    <w:semiHidden/>
    <w:rsid w:val="003D1379"/>
    <w:pPr>
      <w:ind w:left="240"/>
    </w:pPr>
  </w:style>
  <w:style w:type="paragraph" w:styleId="TOC3">
    <w:name w:val="toc 3"/>
    <w:basedOn w:val="Normal"/>
    <w:next w:val="Normal"/>
    <w:autoRedefine/>
    <w:semiHidden/>
    <w:rsid w:val="003D1379"/>
    <w:pPr>
      <w:ind w:left="480"/>
    </w:pPr>
  </w:style>
  <w:style w:type="paragraph" w:styleId="Revision">
    <w:name w:val="Revision"/>
    <w:hidden/>
    <w:uiPriority w:val="99"/>
    <w:semiHidden/>
    <w:rsid w:val="002246D9"/>
    <w:rPr>
      <w:rFonts w:ascii="Arial" w:hAnsi="Arial"/>
      <w:sz w:val="24"/>
      <w:szCs w:val="24"/>
    </w:rPr>
  </w:style>
  <w:style w:type="table" w:customStyle="1" w:styleId="TableGrid1">
    <w:name w:val="Table Grid1"/>
    <w:basedOn w:val="TableNormal"/>
    <w:next w:val="TableGrid"/>
    <w:uiPriority w:val="59"/>
    <w:rsid w:val="002C4FE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C4FE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19586">
      <w:bodyDiv w:val="1"/>
      <w:marLeft w:val="0"/>
      <w:marRight w:val="0"/>
      <w:marTop w:val="0"/>
      <w:marBottom w:val="0"/>
      <w:divBdr>
        <w:top w:val="none" w:sz="0" w:space="0" w:color="auto"/>
        <w:left w:val="none" w:sz="0" w:space="0" w:color="auto"/>
        <w:bottom w:val="none" w:sz="0" w:space="0" w:color="auto"/>
        <w:right w:val="none" w:sz="0" w:space="0" w:color="auto"/>
      </w:divBdr>
      <w:divsChild>
        <w:div w:id="977537688">
          <w:marLeft w:val="0"/>
          <w:marRight w:val="0"/>
          <w:marTop w:val="0"/>
          <w:marBottom w:val="0"/>
          <w:divBdr>
            <w:top w:val="none" w:sz="0" w:space="0" w:color="auto"/>
            <w:left w:val="none" w:sz="0" w:space="0" w:color="auto"/>
            <w:bottom w:val="none" w:sz="0" w:space="0" w:color="auto"/>
            <w:right w:val="none" w:sz="0" w:space="0" w:color="auto"/>
          </w:divBdr>
        </w:div>
      </w:divsChild>
    </w:div>
    <w:div w:id="81580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emf"/><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haemophilia.org.a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reativecommons.org/licenses/by/3.0/au/" TargetMode="External"/><Relationship Id="rId22" Type="http://schemas.openxmlformats.org/officeDocument/2006/relationships/header" Target="header2.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8252</Words>
  <Characters>46263</Characters>
  <Application>Microsoft Office Word</Application>
  <DocSecurity>4</DocSecurity>
  <Lines>936</Lines>
  <Paragraphs>377</Paragraphs>
  <ScaleCrop>false</ScaleCrop>
  <HeadingPairs>
    <vt:vector size="2" baseType="variant">
      <vt:variant>
        <vt:lpstr>Title</vt:lpstr>
      </vt:variant>
      <vt:variant>
        <vt:i4>1</vt:i4>
      </vt:variant>
    </vt:vector>
  </HeadingPairs>
  <TitlesOfParts>
    <vt:vector size="1" baseType="lpstr">
      <vt:lpstr>Operational Procedures</vt:lpstr>
    </vt:vector>
  </TitlesOfParts>
  <Company>National Blood Authority</Company>
  <LinksUpToDate>false</LinksUpToDate>
  <CharactersWithSpaces>54357</CharactersWithSpaces>
  <SharedDoc>false</SharedDoc>
  <HLinks>
    <vt:vector size="48" baseType="variant">
      <vt:variant>
        <vt:i4>6946859</vt:i4>
      </vt:variant>
      <vt:variant>
        <vt:i4>48</vt:i4>
      </vt:variant>
      <vt:variant>
        <vt:i4>0</vt:i4>
      </vt:variant>
      <vt:variant>
        <vt:i4>5</vt:i4>
      </vt:variant>
      <vt:variant>
        <vt:lpwstr>http://www.haemophilia.org.au/</vt:lpwstr>
      </vt:variant>
      <vt:variant>
        <vt:lpwstr/>
      </vt:variant>
      <vt:variant>
        <vt:i4>1376309</vt:i4>
      </vt:variant>
      <vt:variant>
        <vt:i4>38</vt:i4>
      </vt:variant>
      <vt:variant>
        <vt:i4>0</vt:i4>
      </vt:variant>
      <vt:variant>
        <vt:i4>5</vt:i4>
      </vt:variant>
      <vt:variant>
        <vt:lpwstr/>
      </vt:variant>
      <vt:variant>
        <vt:lpwstr>_Toc401666629</vt:lpwstr>
      </vt:variant>
      <vt:variant>
        <vt:i4>1376309</vt:i4>
      </vt:variant>
      <vt:variant>
        <vt:i4>32</vt:i4>
      </vt:variant>
      <vt:variant>
        <vt:i4>0</vt:i4>
      </vt:variant>
      <vt:variant>
        <vt:i4>5</vt:i4>
      </vt:variant>
      <vt:variant>
        <vt:lpwstr/>
      </vt:variant>
      <vt:variant>
        <vt:lpwstr>_Toc401666628</vt:lpwstr>
      </vt:variant>
      <vt:variant>
        <vt:i4>1376309</vt:i4>
      </vt:variant>
      <vt:variant>
        <vt:i4>26</vt:i4>
      </vt:variant>
      <vt:variant>
        <vt:i4>0</vt:i4>
      </vt:variant>
      <vt:variant>
        <vt:i4>5</vt:i4>
      </vt:variant>
      <vt:variant>
        <vt:lpwstr/>
      </vt:variant>
      <vt:variant>
        <vt:lpwstr>_Toc401666627</vt:lpwstr>
      </vt:variant>
      <vt:variant>
        <vt:i4>1376309</vt:i4>
      </vt:variant>
      <vt:variant>
        <vt:i4>20</vt:i4>
      </vt:variant>
      <vt:variant>
        <vt:i4>0</vt:i4>
      </vt:variant>
      <vt:variant>
        <vt:i4>5</vt:i4>
      </vt:variant>
      <vt:variant>
        <vt:lpwstr/>
      </vt:variant>
      <vt:variant>
        <vt:lpwstr>_Toc401666626</vt:lpwstr>
      </vt:variant>
      <vt:variant>
        <vt:i4>1376309</vt:i4>
      </vt:variant>
      <vt:variant>
        <vt:i4>14</vt:i4>
      </vt:variant>
      <vt:variant>
        <vt:i4>0</vt:i4>
      </vt:variant>
      <vt:variant>
        <vt:i4>5</vt:i4>
      </vt:variant>
      <vt:variant>
        <vt:lpwstr/>
      </vt:variant>
      <vt:variant>
        <vt:lpwstr>_Toc401666625</vt:lpwstr>
      </vt:variant>
      <vt:variant>
        <vt:i4>1376309</vt:i4>
      </vt:variant>
      <vt:variant>
        <vt:i4>8</vt:i4>
      </vt:variant>
      <vt:variant>
        <vt:i4>0</vt:i4>
      </vt:variant>
      <vt:variant>
        <vt:i4>5</vt:i4>
      </vt:variant>
      <vt:variant>
        <vt:lpwstr/>
      </vt:variant>
      <vt:variant>
        <vt:lpwstr>_Toc401666624</vt:lpwstr>
      </vt:variant>
      <vt:variant>
        <vt:i4>1376309</vt:i4>
      </vt:variant>
      <vt:variant>
        <vt:i4>2</vt:i4>
      </vt:variant>
      <vt:variant>
        <vt:i4>0</vt:i4>
      </vt:variant>
      <vt:variant>
        <vt:i4>5</vt:i4>
      </vt:variant>
      <vt:variant>
        <vt:lpwstr/>
      </vt:variant>
      <vt:variant>
        <vt:lpwstr>_Toc401666623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Procedures</dc:title>
  <dc:creator>jamess</dc:creator>
  <cp:lastModifiedBy>Johnson, Emma</cp:lastModifiedBy>
  <cp:revision>2</cp:revision>
  <cp:lastPrinted>2015-01-21T04:43:00Z</cp:lastPrinted>
  <dcterms:created xsi:type="dcterms:W3CDTF">2015-02-23T22:01:00Z</dcterms:created>
  <dcterms:modified xsi:type="dcterms:W3CDTF">2015-02-23T22:01:00Z</dcterms:modified>
</cp:coreProperties>
</file>